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23F47" w14:textId="62EE4884" w:rsidR="00CF269E" w:rsidRPr="00185859" w:rsidRDefault="00CF269E" w:rsidP="001E3850">
      <w:pPr>
        <w:pStyle w:val="Tekstpodstawowywcity2"/>
        <w:spacing w:after="0" w:line="240" w:lineRule="auto"/>
        <w:jc w:val="right"/>
        <w:rPr>
          <w:rFonts w:asciiTheme="minorHAnsi" w:hAnsiTheme="minorHAnsi" w:cs="Tahoma"/>
          <w:b/>
          <w:bCs/>
          <w:sz w:val="22"/>
          <w:szCs w:val="22"/>
        </w:rPr>
      </w:pPr>
      <w:r w:rsidRPr="00185859">
        <w:rPr>
          <w:rFonts w:asciiTheme="minorHAnsi" w:hAnsiTheme="minorHAnsi" w:cs="Tahoma"/>
          <w:b/>
          <w:bCs/>
          <w:sz w:val="22"/>
          <w:szCs w:val="22"/>
        </w:rPr>
        <w:t xml:space="preserve">Załącznik nr </w:t>
      </w:r>
      <w:r w:rsidR="001E3850">
        <w:rPr>
          <w:rFonts w:asciiTheme="minorHAnsi" w:hAnsiTheme="minorHAnsi" w:cs="Tahoma"/>
          <w:b/>
          <w:bCs/>
          <w:sz w:val="22"/>
          <w:szCs w:val="22"/>
        </w:rPr>
        <w:t>3 do SWZ</w:t>
      </w:r>
    </w:p>
    <w:p w14:paraId="43866BF9" w14:textId="4EF569E2" w:rsidR="00286BFA" w:rsidRDefault="00286BFA" w:rsidP="00D769C8">
      <w:pPr>
        <w:pStyle w:val="Tekstpodstawowywcity2"/>
        <w:spacing w:after="0" w:line="240" w:lineRule="auto"/>
        <w:jc w:val="center"/>
        <w:rPr>
          <w:rFonts w:asciiTheme="minorHAnsi" w:hAnsiTheme="minorHAnsi" w:cs="Tahoma"/>
          <w:b/>
          <w:bCs/>
          <w:sz w:val="22"/>
          <w:szCs w:val="22"/>
        </w:rPr>
      </w:pPr>
      <w:r w:rsidRPr="00185859">
        <w:rPr>
          <w:rFonts w:asciiTheme="minorHAnsi" w:hAnsiTheme="minorHAnsi" w:cs="Tahoma"/>
          <w:b/>
          <w:bCs/>
          <w:sz w:val="22"/>
          <w:szCs w:val="22"/>
        </w:rPr>
        <w:t>WYKAZ PRÓBEK</w:t>
      </w:r>
    </w:p>
    <w:p w14:paraId="16E90D6C" w14:textId="06ADFAE8" w:rsidR="00286BFA" w:rsidRDefault="00286BFA" w:rsidP="00510BD5">
      <w:pPr>
        <w:pStyle w:val="Tekstpodstawowywcity2"/>
        <w:spacing w:after="0" w:line="240" w:lineRule="auto"/>
        <w:ind w:left="357"/>
        <w:jc w:val="center"/>
        <w:rPr>
          <w:rFonts w:asciiTheme="minorHAnsi" w:hAnsiTheme="minorHAnsi" w:cs="Tahoma"/>
          <w:b/>
          <w:sz w:val="22"/>
          <w:szCs w:val="22"/>
        </w:rPr>
      </w:pPr>
      <w:r w:rsidRPr="00185859">
        <w:rPr>
          <w:rFonts w:asciiTheme="minorHAnsi" w:hAnsiTheme="minorHAnsi" w:cs="Tahoma"/>
          <w:b/>
          <w:sz w:val="22"/>
          <w:szCs w:val="22"/>
        </w:rPr>
        <w:t>do przet</w:t>
      </w:r>
      <w:r w:rsidR="00EC7442">
        <w:rPr>
          <w:rFonts w:asciiTheme="minorHAnsi" w:hAnsiTheme="minorHAnsi" w:cs="Tahoma"/>
          <w:b/>
          <w:sz w:val="22"/>
          <w:szCs w:val="22"/>
        </w:rPr>
        <w:t>estowania w postępowaniu na dostawę materiałów do sterylizacji</w:t>
      </w:r>
    </w:p>
    <w:p w14:paraId="5B7F47A8" w14:textId="3CECECC5" w:rsidR="001E3850" w:rsidRDefault="001E3850" w:rsidP="00510BD5">
      <w:pPr>
        <w:pStyle w:val="Tekstpodstawowywcity2"/>
        <w:spacing w:after="0" w:line="240" w:lineRule="auto"/>
        <w:ind w:left="357"/>
        <w:jc w:val="center"/>
        <w:rPr>
          <w:rFonts w:asciiTheme="minorHAnsi" w:hAnsiTheme="minorHAnsi" w:cs="Tahoma"/>
          <w:b/>
          <w:sz w:val="22"/>
          <w:szCs w:val="22"/>
        </w:rPr>
      </w:pPr>
    </w:p>
    <w:p w14:paraId="68441B41" w14:textId="3490ADA4" w:rsidR="001E3850" w:rsidRPr="00185859" w:rsidRDefault="001E3850" w:rsidP="00A978B7">
      <w:pPr>
        <w:pStyle w:val="Tekstpodstawowywcity2"/>
        <w:tabs>
          <w:tab w:val="left" w:pos="3402"/>
        </w:tabs>
        <w:spacing w:after="0" w:line="240" w:lineRule="auto"/>
        <w:ind w:left="0"/>
        <w:rPr>
          <w:rFonts w:asciiTheme="minorHAnsi" w:hAnsiTheme="minorHAnsi" w:cs="Tahoma"/>
          <w:b/>
          <w:sz w:val="22"/>
          <w:szCs w:val="22"/>
        </w:rPr>
      </w:pPr>
      <w:r>
        <w:rPr>
          <w:rFonts w:asciiTheme="minorHAnsi" w:hAnsiTheme="minorHAnsi" w:cs="Tahoma"/>
          <w:b/>
          <w:sz w:val="22"/>
          <w:szCs w:val="22"/>
        </w:rPr>
        <w:t>NAZWA WYKONAWCY………………………………………………..</w:t>
      </w:r>
    </w:p>
    <w:p w14:paraId="4A5E103E" w14:textId="77777777" w:rsidR="00BE36E6" w:rsidRPr="00185859" w:rsidRDefault="00BE36E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19"/>
        <w:gridCol w:w="1068"/>
        <w:gridCol w:w="1134"/>
        <w:gridCol w:w="1275"/>
        <w:gridCol w:w="1276"/>
        <w:gridCol w:w="1276"/>
        <w:gridCol w:w="1134"/>
        <w:gridCol w:w="1134"/>
        <w:gridCol w:w="1418"/>
      </w:tblGrid>
      <w:tr w:rsidR="003559FF" w:rsidRPr="0042444D" w14:paraId="47291849" w14:textId="77777777" w:rsidTr="0060018C">
        <w:trPr>
          <w:trHeight w:val="368"/>
        </w:trPr>
        <w:tc>
          <w:tcPr>
            <w:tcW w:w="567" w:type="dxa"/>
            <w:vMerge w:val="restart"/>
            <w:shd w:val="pct5" w:color="auto" w:fill="FFFFFF"/>
            <w:vAlign w:val="center"/>
          </w:tcPr>
          <w:p w14:paraId="025DF160" w14:textId="77777777" w:rsidR="003559FF" w:rsidRP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LP</w:t>
            </w:r>
          </w:p>
        </w:tc>
        <w:tc>
          <w:tcPr>
            <w:tcW w:w="4319" w:type="dxa"/>
            <w:vMerge w:val="restart"/>
            <w:shd w:val="pct5" w:color="auto" w:fill="FFFFFF"/>
            <w:vAlign w:val="center"/>
          </w:tcPr>
          <w:p w14:paraId="6901ADB0" w14:textId="77777777" w:rsidR="003559FF" w:rsidRP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PRODUKT - CHARAKTERYSTYKA</w:t>
            </w:r>
          </w:p>
        </w:tc>
        <w:tc>
          <w:tcPr>
            <w:tcW w:w="1068" w:type="dxa"/>
            <w:vMerge w:val="restart"/>
            <w:shd w:val="pct5" w:color="auto" w:fill="FFFFFF"/>
            <w:vAlign w:val="center"/>
          </w:tcPr>
          <w:p w14:paraId="00713387"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Ilość szt.</w:t>
            </w:r>
          </w:p>
          <w:p w14:paraId="11D26C75"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wymagana</w:t>
            </w:r>
          </w:p>
        </w:tc>
        <w:tc>
          <w:tcPr>
            <w:tcW w:w="1134" w:type="dxa"/>
            <w:vMerge w:val="restart"/>
            <w:shd w:val="pct5" w:color="auto" w:fill="FFFFFF"/>
            <w:vAlign w:val="center"/>
          </w:tcPr>
          <w:p w14:paraId="509770A3"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Ilość szt.</w:t>
            </w:r>
          </w:p>
          <w:p w14:paraId="5CC90208"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dostarczona</w:t>
            </w:r>
          </w:p>
        </w:tc>
        <w:tc>
          <w:tcPr>
            <w:tcW w:w="1275" w:type="dxa"/>
            <w:vMerge w:val="restart"/>
            <w:shd w:val="pct5" w:color="auto" w:fill="FFFFFF"/>
            <w:vAlign w:val="center"/>
          </w:tcPr>
          <w:p w14:paraId="265FC2DA"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Oferowany produkt</w:t>
            </w:r>
          </w:p>
          <w:p w14:paraId="42C2E5C9"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typ/nr kat.</w:t>
            </w:r>
          </w:p>
        </w:tc>
        <w:tc>
          <w:tcPr>
            <w:tcW w:w="1276" w:type="dxa"/>
            <w:vMerge w:val="restart"/>
            <w:shd w:val="pct5" w:color="auto" w:fill="FFFFFF"/>
            <w:vAlign w:val="center"/>
          </w:tcPr>
          <w:p w14:paraId="49F61986"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Numer serii</w:t>
            </w:r>
          </w:p>
          <w:p w14:paraId="013E0ACA"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i data ważności</w:t>
            </w:r>
          </w:p>
          <w:p w14:paraId="4430AA72" w14:textId="77777777" w:rsidR="003559FF" w:rsidRPr="0042444D" w:rsidRDefault="003559FF" w:rsidP="003559FF">
            <w:pPr>
              <w:pStyle w:val="Tekstpodstawowywcity2"/>
              <w:spacing w:after="0" w:line="240" w:lineRule="auto"/>
              <w:ind w:left="0"/>
              <w:jc w:val="center"/>
              <w:rPr>
                <w:rFonts w:asciiTheme="majorHAnsi" w:hAnsiTheme="majorHAnsi" w:cs="Tahoma"/>
                <w:bCs/>
                <w:sz w:val="18"/>
                <w:szCs w:val="18"/>
              </w:rPr>
            </w:pPr>
            <w:r w:rsidRPr="0042444D">
              <w:rPr>
                <w:rFonts w:asciiTheme="majorHAnsi" w:hAnsiTheme="majorHAnsi" w:cs="Tahoma"/>
                <w:bCs/>
                <w:sz w:val="18"/>
                <w:szCs w:val="18"/>
              </w:rPr>
              <w:t>/jeśli dotyczy/</w:t>
            </w:r>
          </w:p>
        </w:tc>
        <w:tc>
          <w:tcPr>
            <w:tcW w:w="1276" w:type="dxa"/>
            <w:vMerge w:val="restart"/>
            <w:shd w:val="pct5" w:color="auto" w:fill="FFFFFF"/>
            <w:vAlign w:val="center"/>
          </w:tcPr>
          <w:p w14:paraId="55055AE9" w14:textId="77777777" w:rsidR="003559FF" w:rsidRPr="0042444D" w:rsidRDefault="003559FF" w:rsidP="003559FF">
            <w:pPr>
              <w:pStyle w:val="Tekstpodstawowywcity2"/>
              <w:spacing w:after="0" w:line="240" w:lineRule="auto"/>
              <w:ind w:left="0"/>
              <w:jc w:val="center"/>
              <w:rPr>
                <w:rFonts w:asciiTheme="majorHAnsi" w:hAnsiTheme="majorHAnsi" w:cs="Tahoma"/>
                <w:b/>
                <w:bCs/>
                <w:sz w:val="18"/>
                <w:szCs w:val="18"/>
              </w:rPr>
            </w:pPr>
            <w:r w:rsidRPr="0042444D">
              <w:rPr>
                <w:rFonts w:asciiTheme="majorHAnsi" w:hAnsiTheme="majorHAnsi" w:cs="Tahoma"/>
                <w:b/>
                <w:bCs/>
                <w:sz w:val="18"/>
                <w:szCs w:val="18"/>
              </w:rPr>
              <w:t>Producent</w:t>
            </w:r>
          </w:p>
          <w:p w14:paraId="1A07A0B3" w14:textId="05C758A3" w:rsidR="00566423" w:rsidRPr="0042444D" w:rsidRDefault="00566423" w:rsidP="003559FF">
            <w:pPr>
              <w:pStyle w:val="Tekstpodstawowywcity2"/>
              <w:spacing w:after="0" w:line="240" w:lineRule="auto"/>
              <w:ind w:left="0"/>
              <w:jc w:val="center"/>
              <w:rPr>
                <w:rFonts w:asciiTheme="majorHAnsi" w:hAnsiTheme="majorHAnsi" w:cs="Tahoma"/>
                <w:bCs/>
                <w:sz w:val="18"/>
                <w:szCs w:val="18"/>
              </w:rPr>
            </w:pPr>
            <w:r w:rsidRPr="0042444D">
              <w:rPr>
                <w:rFonts w:asciiTheme="majorHAnsi" w:hAnsiTheme="majorHAnsi" w:cs="Tahoma"/>
                <w:bCs/>
                <w:sz w:val="18"/>
                <w:szCs w:val="18"/>
              </w:rPr>
              <w:t>(nazwa, kraj pochodzenia)</w:t>
            </w:r>
          </w:p>
        </w:tc>
        <w:tc>
          <w:tcPr>
            <w:tcW w:w="3686" w:type="dxa"/>
            <w:gridSpan w:val="3"/>
            <w:tcBorders>
              <w:bottom w:val="nil"/>
            </w:tcBorders>
            <w:shd w:val="pct5" w:color="auto" w:fill="FFFFFF"/>
            <w:vAlign w:val="center"/>
          </w:tcPr>
          <w:p w14:paraId="31ACA455" w14:textId="77777777" w:rsidR="003559FF" w:rsidRP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WYCENA PRÓBEK</w:t>
            </w:r>
          </w:p>
        </w:tc>
      </w:tr>
      <w:tr w:rsidR="003559FF" w:rsidRPr="00D619E7" w14:paraId="0AF483E6" w14:textId="77777777" w:rsidTr="0060018C">
        <w:trPr>
          <w:trHeight w:val="403"/>
        </w:trPr>
        <w:tc>
          <w:tcPr>
            <w:tcW w:w="567" w:type="dxa"/>
            <w:vMerge/>
            <w:tcBorders>
              <w:bottom w:val="nil"/>
            </w:tcBorders>
            <w:shd w:val="pct5" w:color="auto" w:fill="FFFFFF"/>
            <w:vAlign w:val="center"/>
          </w:tcPr>
          <w:p w14:paraId="0E9586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4319" w:type="dxa"/>
            <w:vMerge/>
            <w:tcBorders>
              <w:bottom w:val="nil"/>
            </w:tcBorders>
            <w:shd w:val="pct5" w:color="auto" w:fill="FFFFFF"/>
            <w:vAlign w:val="center"/>
          </w:tcPr>
          <w:p w14:paraId="194F2E3E"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1068" w:type="dxa"/>
            <w:vMerge/>
            <w:tcBorders>
              <w:bottom w:val="nil"/>
            </w:tcBorders>
            <w:shd w:val="pct5" w:color="auto" w:fill="FFFFFF"/>
            <w:vAlign w:val="center"/>
          </w:tcPr>
          <w:p w14:paraId="0DADBF51"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D914224"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28A3565E"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1D350E3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176F4B6B"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3AD0FE1" w14:textId="77777777" w:rsidR="003559FF" w:rsidRP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Cena jedn. netto</w:t>
            </w:r>
          </w:p>
        </w:tc>
        <w:tc>
          <w:tcPr>
            <w:tcW w:w="1134" w:type="dxa"/>
            <w:tcBorders>
              <w:bottom w:val="nil"/>
            </w:tcBorders>
            <w:shd w:val="pct5" w:color="auto" w:fill="FFFFFF"/>
            <w:vAlign w:val="center"/>
          </w:tcPr>
          <w:p w14:paraId="4146F392" w14:textId="77777777" w:rsidR="003559FF" w:rsidRP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Wartość netto</w:t>
            </w:r>
          </w:p>
        </w:tc>
        <w:tc>
          <w:tcPr>
            <w:tcW w:w="1418" w:type="dxa"/>
            <w:tcBorders>
              <w:bottom w:val="nil"/>
            </w:tcBorders>
            <w:shd w:val="pct5" w:color="auto" w:fill="FFFFFF"/>
            <w:vAlign w:val="center"/>
          </w:tcPr>
          <w:p w14:paraId="688E2487" w14:textId="77777777" w:rsid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 xml:space="preserve">Wartość </w:t>
            </w:r>
          </w:p>
          <w:p w14:paraId="59FAF0CB" w14:textId="301C3180" w:rsidR="003559FF" w:rsidRPr="0042444D" w:rsidRDefault="003559FF" w:rsidP="003559FF">
            <w:pPr>
              <w:pStyle w:val="Tekstpodstawowywcity2"/>
              <w:spacing w:after="0" w:line="240" w:lineRule="auto"/>
              <w:ind w:left="0"/>
              <w:jc w:val="center"/>
              <w:rPr>
                <w:rFonts w:asciiTheme="majorHAnsi" w:hAnsiTheme="majorHAnsi" w:cs="Tahoma"/>
                <w:b/>
                <w:sz w:val="18"/>
                <w:szCs w:val="18"/>
              </w:rPr>
            </w:pPr>
            <w:r w:rsidRPr="0042444D">
              <w:rPr>
                <w:rFonts w:asciiTheme="majorHAnsi" w:hAnsiTheme="majorHAnsi" w:cs="Tahoma"/>
                <w:b/>
                <w:sz w:val="18"/>
                <w:szCs w:val="18"/>
              </w:rPr>
              <w:t>brutto</w:t>
            </w:r>
          </w:p>
        </w:tc>
      </w:tr>
      <w:tr w:rsidR="003559FF" w:rsidRPr="00F70541" w14:paraId="0DA4BAD6" w14:textId="77777777" w:rsidTr="001C1363">
        <w:trPr>
          <w:trHeight w:val="376"/>
        </w:trPr>
        <w:tc>
          <w:tcPr>
            <w:tcW w:w="567" w:type="dxa"/>
            <w:tcBorders>
              <w:bottom w:val="single" w:sz="4" w:space="0" w:color="auto"/>
            </w:tcBorders>
            <w:shd w:val="clear" w:color="auto" w:fill="FFFFFF"/>
          </w:tcPr>
          <w:p w14:paraId="6174D476" w14:textId="77777777" w:rsidR="003559FF" w:rsidRPr="00F70541" w:rsidRDefault="003559FF" w:rsidP="003559FF">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319" w:type="dxa"/>
            <w:tcBorders>
              <w:bottom w:val="single" w:sz="4" w:space="0" w:color="auto"/>
            </w:tcBorders>
            <w:shd w:val="clear" w:color="auto" w:fill="FFFFFF"/>
          </w:tcPr>
          <w:p w14:paraId="5A079EC3"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068" w:type="dxa"/>
            <w:tcBorders>
              <w:bottom w:val="single" w:sz="4" w:space="0" w:color="auto"/>
            </w:tcBorders>
            <w:shd w:val="clear" w:color="auto" w:fill="FFFFFF"/>
          </w:tcPr>
          <w:p w14:paraId="71628E4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cPr>
          <w:p w14:paraId="6CF857A2"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cPr>
          <w:p w14:paraId="0E46E40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cPr>
          <w:p w14:paraId="50A5C17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cPr>
          <w:p w14:paraId="01FC00E6"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cPr>
          <w:p w14:paraId="3BBB2509"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clear" w:color="auto" w:fill="FFFFFF"/>
          </w:tcPr>
          <w:p w14:paraId="1588ADEE"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cPr>
          <w:p w14:paraId="37853DE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437284" w:rsidRPr="006A266A" w14:paraId="4B9EF5F4" w14:textId="77777777" w:rsidTr="001C1363">
        <w:trPr>
          <w:trHeight w:val="551"/>
        </w:trPr>
        <w:tc>
          <w:tcPr>
            <w:tcW w:w="14601" w:type="dxa"/>
            <w:gridSpan w:val="10"/>
            <w:tcBorders>
              <w:bottom w:val="single" w:sz="4" w:space="0" w:color="auto"/>
            </w:tcBorders>
            <w:shd w:val="clear" w:color="auto" w:fill="F2F2F2"/>
            <w:vAlign w:val="center"/>
          </w:tcPr>
          <w:p w14:paraId="393BF125" w14:textId="4BFBF6AD" w:rsidR="00437284" w:rsidRPr="00D769C8" w:rsidRDefault="00437284" w:rsidP="00437284">
            <w:pPr>
              <w:pStyle w:val="Tekstpodstawowywcity2"/>
              <w:spacing w:after="0" w:line="240" w:lineRule="auto"/>
              <w:ind w:left="0"/>
              <w:rPr>
                <w:rFonts w:asciiTheme="minorHAnsi" w:hAnsiTheme="minorHAnsi" w:cs="Tahoma"/>
                <w:b/>
                <w:sz w:val="16"/>
                <w:szCs w:val="16"/>
              </w:rPr>
            </w:pPr>
            <w:r w:rsidRPr="00D769C8">
              <w:rPr>
                <w:rFonts w:asciiTheme="minorHAnsi" w:hAnsiTheme="minorHAnsi" w:cs="Tahoma"/>
                <w:b/>
                <w:sz w:val="16"/>
                <w:szCs w:val="16"/>
              </w:rPr>
              <w:t>PAKIET NR 1</w:t>
            </w:r>
            <w:r w:rsidR="003A2D4B">
              <w:rPr>
                <w:rFonts w:asciiTheme="minorHAnsi" w:hAnsiTheme="minorHAnsi" w:cs="Tahoma"/>
                <w:b/>
                <w:sz w:val="16"/>
                <w:szCs w:val="16"/>
              </w:rPr>
              <w:t xml:space="preserve"> – Rękawy papierowo-foliowe</w:t>
            </w:r>
          </w:p>
        </w:tc>
      </w:tr>
      <w:tr w:rsidR="001C1363" w:rsidRPr="00BE36E6" w14:paraId="7683466F" w14:textId="77777777" w:rsidTr="001C1363">
        <w:trPr>
          <w:trHeight w:val="2215"/>
        </w:trPr>
        <w:tc>
          <w:tcPr>
            <w:tcW w:w="567" w:type="dxa"/>
            <w:tcBorders>
              <w:top w:val="nil"/>
            </w:tcBorders>
            <w:vAlign w:val="center"/>
          </w:tcPr>
          <w:p w14:paraId="2C4E5F7E" w14:textId="77777777" w:rsidR="001C1363" w:rsidRPr="00BE36E6" w:rsidRDefault="001C1363" w:rsidP="001C1363">
            <w:pPr>
              <w:pStyle w:val="Tekstpodstawowy3"/>
              <w:spacing w:after="0"/>
              <w:jc w:val="center"/>
              <w:rPr>
                <w:rFonts w:asciiTheme="minorHAnsi" w:hAnsiTheme="minorHAnsi"/>
                <w:b/>
              </w:rPr>
            </w:pPr>
            <w:r w:rsidRPr="00BE36E6">
              <w:rPr>
                <w:rFonts w:asciiTheme="minorHAnsi" w:hAnsiTheme="minorHAnsi"/>
                <w:b/>
              </w:rPr>
              <w:t>1</w:t>
            </w:r>
          </w:p>
        </w:tc>
        <w:tc>
          <w:tcPr>
            <w:tcW w:w="4319" w:type="dxa"/>
            <w:tcBorders>
              <w:top w:val="nil"/>
              <w:bottom w:val="single" w:sz="4" w:space="0" w:color="auto"/>
            </w:tcBorders>
            <w:vAlign w:val="center"/>
          </w:tcPr>
          <w:p w14:paraId="2DA2BEBC" w14:textId="77777777" w:rsidR="001C1363" w:rsidRPr="001C1363" w:rsidRDefault="001C1363" w:rsidP="001C1363">
            <w:pPr>
              <w:pStyle w:val="Tekstpodstawowywcity2"/>
              <w:spacing w:after="0" w:line="240" w:lineRule="auto"/>
              <w:ind w:left="0"/>
              <w:rPr>
                <w:rFonts w:asciiTheme="majorHAnsi" w:hAnsiTheme="majorHAnsi"/>
                <w:b/>
                <w:sz w:val="18"/>
                <w:szCs w:val="18"/>
              </w:rPr>
            </w:pPr>
            <w:r w:rsidRPr="001C1363">
              <w:rPr>
                <w:rFonts w:asciiTheme="majorHAnsi" w:hAnsiTheme="majorHAnsi"/>
                <w:b/>
                <w:sz w:val="18"/>
                <w:szCs w:val="18"/>
              </w:rPr>
              <w:t>Rękaw papierowo-foliowy ze wskaźnikiem procesu STEAM, EO – płaskie 200 mm/200m</w:t>
            </w:r>
          </w:p>
          <w:p w14:paraId="308390F1" w14:textId="577C047E" w:rsidR="001C1363" w:rsidRPr="003A2D4B" w:rsidRDefault="001C1363" w:rsidP="001C1363">
            <w:pPr>
              <w:pStyle w:val="Tekstpodstawowywcity2"/>
              <w:spacing w:after="0" w:line="240" w:lineRule="auto"/>
              <w:ind w:left="0"/>
              <w:rPr>
                <w:rFonts w:asciiTheme="minorHAnsi" w:hAnsiTheme="minorHAnsi" w:cs="Tahoma"/>
                <w:sz w:val="18"/>
                <w:szCs w:val="18"/>
              </w:rPr>
            </w:pPr>
            <w:r w:rsidRPr="00BA6B52">
              <w:rPr>
                <w:rFonts w:asciiTheme="majorHAnsi" w:hAnsiTheme="majorHAnsi"/>
                <w:sz w:val="18"/>
                <w:szCs w:val="18"/>
                <w:u w:val="single"/>
              </w:rPr>
              <w:t>Charakterystyka:</w:t>
            </w:r>
            <w:r>
              <w:rPr>
                <w:rFonts w:asciiTheme="majorHAnsi" w:hAnsiTheme="majorHAnsi"/>
                <w:sz w:val="18"/>
                <w:szCs w:val="18"/>
              </w:rPr>
              <w:t xml:space="preserve"> </w:t>
            </w:r>
            <w:r w:rsidRPr="00BA6B52">
              <w:rPr>
                <w:rFonts w:asciiTheme="majorHAnsi" w:hAnsiTheme="majorHAnsi"/>
                <w:sz w:val="18"/>
                <w:szCs w:val="18"/>
              </w:rPr>
              <w:t xml:space="preserve">Rękaw papierowo - foliowy ze wskaźnikiem procesu STEAM, EO – poza obszarem wypełnienia. Na rękawie muszą znajdować się informacje o kierunku otwierania rękawa, numer Lot, nazwie producenta lub nazwa własna wyrobu, rozmiar rękawa. Wszystkie napisy poza obszarem ładowania po stronie przedniej – strona folii.   </w:t>
            </w:r>
          </w:p>
        </w:tc>
        <w:tc>
          <w:tcPr>
            <w:tcW w:w="1068" w:type="dxa"/>
            <w:tcBorders>
              <w:top w:val="nil"/>
              <w:bottom w:val="single" w:sz="4" w:space="0" w:color="auto"/>
            </w:tcBorders>
            <w:shd w:val="clear" w:color="auto" w:fill="F2F2F2"/>
            <w:vAlign w:val="center"/>
          </w:tcPr>
          <w:p w14:paraId="425C4C8F" w14:textId="4109815A" w:rsidR="001C1363" w:rsidRPr="00BE36E6" w:rsidRDefault="001C1363" w:rsidP="001C1363">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 mb</w:t>
            </w:r>
          </w:p>
        </w:tc>
        <w:tc>
          <w:tcPr>
            <w:tcW w:w="1134" w:type="dxa"/>
            <w:tcBorders>
              <w:top w:val="nil"/>
              <w:bottom w:val="single" w:sz="4" w:space="0" w:color="auto"/>
            </w:tcBorders>
          </w:tcPr>
          <w:p w14:paraId="69F1F013" w14:textId="77777777" w:rsidR="001C1363" w:rsidRPr="00BE36E6" w:rsidRDefault="001C1363" w:rsidP="001C1363">
            <w:pPr>
              <w:pStyle w:val="Tekstpodstawowy3"/>
              <w:spacing w:after="0"/>
              <w:jc w:val="center"/>
              <w:rPr>
                <w:rFonts w:asciiTheme="minorHAnsi" w:hAnsiTheme="minorHAnsi"/>
              </w:rPr>
            </w:pPr>
          </w:p>
        </w:tc>
        <w:tc>
          <w:tcPr>
            <w:tcW w:w="1275" w:type="dxa"/>
            <w:tcBorders>
              <w:top w:val="nil"/>
              <w:bottom w:val="single" w:sz="4" w:space="0" w:color="auto"/>
            </w:tcBorders>
          </w:tcPr>
          <w:p w14:paraId="0193F8D9" w14:textId="77777777" w:rsidR="001C1363" w:rsidRPr="00BE36E6" w:rsidRDefault="001C1363" w:rsidP="001C1363">
            <w:pPr>
              <w:pStyle w:val="Tekstpodstawowy3"/>
              <w:spacing w:after="0"/>
              <w:jc w:val="center"/>
              <w:rPr>
                <w:rFonts w:asciiTheme="minorHAnsi" w:hAnsiTheme="minorHAnsi"/>
              </w:rPr>
            </w:pPr>
          </w:p>
        </w:tc>
        <w:tc>
          <w:tcPr>
            <w:tcW w:w="1276" w:type="dxa"/>
            <w:tcBorders>
              <w:top w:val="nil"/>
              <w:bottom w:val="single" w:sz="4" w:space="0" w:color="auto"/>
            </w:tcBorders>
          </w:tcPr>
          <w:p w14:paraId="24BE5E8C" w14:textId="77777777" w:rsidR="001C1363" w:rsidRPr="00BE36E6" w:rsidRDefault="001C1363" w:rsidP="001C1363">
            <w:pPr>
              <w:pStyle w:val="Tekstpodstawowy3"/>
              <w:spacing w:after="0"/>
              <w:jc w:val="center"/>
              <w:rPr>
                <w:rFonts w:asciiTheme="minorHAnsi" w:hAnsiTheme="minorHAnsi"/>
              </w:rPr>
            </w:pPr>
          </w:p>
        </w:tc>
        <w:tc>
          <w:tcPr>
            <w:tcW w:w="1276" w:type="dxa"/>
            <w:tcBorders>
              <w:top w:val="nil"/>
              <w:bottom w:val="single" w:sz="4" w:space="0" w:color="auto"/>
            </w:tcBorders>
          </w:tcPr>
          <w:p w14:paraId="363DDFCD" w14:textId="77777777" w:rsidR="001C1363" w:rsidRPr="00BE36E6" w:rsidRDefault="001C1363" w:rsidP="001C1363">
            <w:pPr>
              <w:pStyle w:val="Tekstpodstawowy3"/>
              <w:spacing w:after="0"/>
              <w:jc w:val="center"/>
              <w:rPr>
                <w:rFonts w:asciiTheme="minorHAnsi" w:hAnsiTheme="minorHAnsi"/>
              </w:rPr>
            </w:pPr>
          </w:p>
        </w:tc>
        <w:tc>
          <w:tcPr>
            <w:tcW w:w="1134" w:type="dxa"/>
            <w:tcBorders>
              <w:top w:val="nil"/>
              <w:bottom w:val="single" w:sz="4" w:space="0" w:color="auto"/>
            </w:tcBorders>
          </w:tcPr>
          <w:p w14:paraId="7EBF90A0" w14:textId="77777777" w:rsidR="001C1363" w:rsidRPr="00BE36E6" w:rsidRDefault="001C1363" w:rsidP="001C1363">
            <w:pPr>
              <w:pStyle w:val="Tekstpodstawowy3"/>
              <w:spacing w:after="0"/>
              <w:jc w:val="center"/>
              <w:rPr>
                <w:rFonts w:asciiTheme="minorHAnsi" w:hAnsiTheme="minorHAnsi"/>
              </w:rPr>
            </w:pPr>
          </w:p>
        </w:tc>
        <w:tc>
          <w:tcPr>
            <w:tcW w:w="1134" w:type="dxa"/>
            <w:tcBorders>
              <w:top w:val="nil"/>
              <w:bottom w:val="single" w:sz="4" w:space="0" w:color="auto"/>
            </w:tcBorders>
          </w:tcPr>
          <w:p w14:paraId="161C47DC" w14:textId="77777777" w:rsidR="001C1363" w:rsidRPr="00BE36E6" w:rsidRDefault="001C1363" w:rsidP="001C1363">
            <w:pPr>
              <w:pStyle w:val="Tekstpodstawowy3"/>
              <w:spacing w:after="0"/>
              <w:jc w:val="center"/>
              <w:rPr>
                <w:rFonts w:asciiTheme="minorHAnsi" w:hAnsiTheme="minorHAnsi"/>
              </w:rPr>
            </w:pPr>
          </w:p>
        </w:tc>
        <w:tc>
          <w:tcPr>
            <w:tcW w:w="1418" w:type="dxa"/>
            <w:tcBorders>
              <w:top w:val="nil"/>
              <w:bottom w:val="single" w:sz="4" w:space="0" w:color="auto"/>
            </w:tcBorders>
          </w:tcPr>
          <w:p w14:paraId="55FD6E74" w14:textId="77777777" w:rsidR="001C1363" w:rsidRPr="00BE36E6" w:rsidRDefault="001C1363" w:rsidP="001C1363">
            <w:pPr>
              <w:pStyle w:val="Tekstpodstawowy3"/>
              <w:spacing w:after="0"/>
              <w:jc w:val="center"/>
              <w:rPr>
                <w:rFonts w:asciiTheme="minorHAnsi" w:hAnsiTheme="minorHAnsi"/>
              </w:rPr>
            </w:pPr>
          </w:p>
        </w:tc>
      </w:tr>
      <w:tr w:rsidR="001C1363" w:rsidRPr="00BE36E6" w14:paraId="30C82C5F" w14:textId="77777777" w:rsidTr="008206A7">
        <w:trPr>
          <w:trHeight w:val="2261"/>
        </w:trPr>
        <w:tc>
          <w:tcPr>
            <w:tcW w:w="567" w:type="dxa"/>
            <w:tcBorders>
              <w:top w:val="nil"/>
              <w:bottom w:val="single" w:sz="4" w:space="0" w:color="auto"/>
            </w:tcBorders>
            <w:vAlign w:val="center"/>
          </w:tcPr>
          <w:p w14:paraId="1339931E" w14:textId="0A5B0E62" w:rsidR="001C1363" w:rsidRPr="00BE36E6" w:rsidRDefault="001C1363" w:rsidP="001C1363">
            <w:pPr>
              <w:pStyle w:val="Tekstpodstawowy3"/>
              <w:spacing w:after="0"/>
              <w:jc w:val="center"/>
              <w:rPr>
                <w:rFonts w:asciiTheme="minorHAnsi" w:hAnsiTheme="minorHAnsi"/>
                <w:b/>
              </w:rPr>
            </w:pPr>
            <w:r>
              <w:rPr>
                <w:rFonts w:asciiTheme="minorHAnsi" w:hAnsiTheme="minorHAnsi"/>
                <w:b/>
              </w:rPr>
              <w:t>2</w:t>
            </w:r>
          </w:p>
        </w:tc>
        <w:tc>
          <w:tcPr>
            <w:tcW w:w="4319" w:type="dxa"/>
            <w:tcBorders>
              <w:top w:val="nil"/>
              <w:bottom w:val="single" w:sz="4" w:space="0" w:color="auto"/>
            </w:tcBorders>
            <w:vAlign w:val="center"/>
          </w:tcPr>
          <w:p w14:paraId="683EBA81" w14:textId="77777777" w:rsidR="001C1363" w:rsidRPr="001C1363" w:rsidRDefault="001C1363" w:rsidP="001C1363">
            <w:pPr>
              <w:pStyle w:val="Tekstpodstawowywcity2"/>
              <w:spacing w:after="0" w:line="240" w:lineRule="auto"/>
              <w:ind w:left="0"/>
              <w:rPr>
                <w:rFonts w:asciiTheme="majorHAnsi" w:hAnsiTheme="majorHAnsi"/>
                <w:b/>
                <w:sz w:val="18"/>
                <w:szCs w:val="18"/>
              </w:rPr>
            </w:pPr>
            <w:r w:rsidRPr="001C1363">
              <w:rPr>
                <w:rFonts w:asciiTheme="majorHAnsi" w:hAnsiTheme="majorHAnsi"/>
                <w:b/>
                <w:sz w:val="18"/>
                <w:szCs w:val="18"/>
              </w:rPr>
              <w:t>Rękaw papierowo-foliowy ze wskaźnikiem procesu STEAM, EO – płaskie 400 mm/200m</w:t>
            </w:r>
          </w:p>
          <w:p w14:paraId="22CDB3D3" w14:textId="23DD8F15" w:rsidR="001C1363" w:rsidRPr="003A2D4B" w:rsidRDefault="001C1363" w:rsidP="001C1363">
            <w:pPr>
              <w:pStyle w:val="Tekstpodstawowywcity2"/>
              <w:spacing w:after="0" w:line="240" w:lineRule="auto"/>
              <w:ind w:left="0"/>
              <w:rPr>
                <w:rFonts w:asciiTheme="minorHAnsi" w:hAnsiTheme="minorHAnsi" w:cs="Tahoma"/>
                <w:sz w:val="18"/>
                <w:szCs w:val="18"/>
              </w:rPr>
            </w:pPr>
            <w:r w:rsidRPr="00BA6B52">
              <w:rPr>
                <w:rFonts w:asciiTheme="majorHAnsi" w:hAnsiTheme="majorHAnsi"/>
                <w:sz w:val="18"/>
                <w:szCs w:val="18"/>
                <w:u w:val="single"/>
              </w:rPr>
              <w:t>Charakterystyka:</w:t>
            </w:r>
            <w:r>
              <w:rPr>
                <w:rFonts w:asciiTheme="majorHAnsi" w:hAnsiTheme="majorHAnsi"/>
                <w:sz w:val="18"/>
                <w:szCs w:val="18"/>
              </w:rPr>
              <w:t xml:space="preserve"> </w:t>
            </w:r>
            <w:r w:rsidRPr="00BA6B52">
              <w:rPr>
                <w:rFonts w:asciiTheme="majorHAnsi" w:hAnsiTheme="majorHAnsi"/>
                <w:sz w:val="18"/>
                <w:szCs w:val="18"/>
              </w:rPr>
              <w:t xml:space="preserve">Rękaw papierowo - foliowy ze wskaźnikiem procesu STEAM, EO – poza obszarem wypełnienia. Na rękawie muszą znajdować się informacje o kierunku otwierania rękawa, numer Lot, nazwie producenta lub nazwa własna wyrobu, rozmiar rękawa. Wszystkie napisy poza obszarem ładowania po stronie przedniej – strona folii.    </w:t>
            </w:r>
          </w:p>
        </w:tc>
        <w:tc>
          <w:tcPr>
            <w:tcW w:w="1068" w:type="dxa"/>
            <w:tcBorders>
              <w:top w:val="nil"/>
              <w:bottom w:val="single" w:sz="4" w:space="0" w:color="auto"/>
            </w:tcBorders>
            <w:shd w:val="clear" w:color="auto" w:fill="F2F2F2"/>
            <w:vAlign w:val="center"/>
          </w:tcPr>
          <w:p w14:paraId="48787BE5" w14:textId="24B428E6" w:rsidR="001C1363" w:rsidRPr="00BE36E6" w:rsidRDefault="001C1363" w:rsidP="001C1363">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 mb</w:t>
            </w:r>
          </w:p>
        </w:tc>
        <w:tc>
          <w:tcPr>
            <w:tcW w:w="1134" w:type="dxa"/>
            <w:tcBorders>
              <w:top w:val="nil"/>
              <w:bottom w:val="single" w:sz="4" w:space="0" w:color="auto"/>
            </w:tcBorders>
          </w:tcPr>
          <w:p w14:paraId="5135DCA7" w14:textId="77777777" w:rsidR="001C1363" w:rsidRPr="00BE36E6" w:rsidRDefault="001C1363" w:rsidP="001C1363">
            <w:pPr>
              <w:pStyle w:val="Tekstpodstawowy3"/>
              <w:spacing w:after="0"/>
              <w:jc w:val="center"/>
              <w:rPr>
                <w:rFonts w:asciiTheme="minorHAnsi" w:hAnsiTheme="minorHAnsi"/>
              </w:rPr>
            </w:pPr>
          </w:p>
        </w:tc>
        <w:tc>
          <w:tcPr>
            <w:tcW w:w="1275" w:type="dxa"/>
            <w:tcBorders>
              <w:top w:val="nil"/>
              <w:bottom w:val="single" w:sz="4" w:space="0" w:color="auto"/>
            </w:tcBorders>
          </w:tcPr>
          <w:p w14:paraId="1A5ED20E" w14:textId="77777777" w:rsidR="001C1363" w:rsidRPr="00BE36E6" w:rsidRDefault="001C1363" w:rsidP="001C1363">
            <w:pPr>
              <w:pStyle w:val="Tekstpodstawowy3"/>
              <w:spacing w:after="0"/>
              <w:jc w:val="center"/>
              <w:rPr>
                <w:rFonts w:asciiTheme="minorHAnsi" w:hAnsiTheme="minorHAnsi"/>
              </w:rPr>
            </w:pPr>
          </w:p>
        </w:tc>
        <w:tc>
          <w:tcPr>
            <w:tcW w:w="1276" w:type="dxa"/>
            <w:tcBorders>
              <w:top w:val="nil"/>
              <w:bottom w:val="single" w:sz="4" w:space="0" w:color="auto"/>
            </w:tcBorders>
          </w:tcPr>
          <w:p w14:paraId="42AD1F54" w14:textId="77777777" w:rsidR="001C1363" w:rsidRPr="00BE36E6" w:rsidRDefault="001C1363" w:rsidP="001C1363">
            <w:pPr>
              <w:pStyle w:val="Tekstpodstawowy3"/>
              <w:spacing w:after="0"/>
              <w:jc w:val="center"/>
              <w:rPr>
                <w:rFonts w:asciiTheme="minorHAnsi" w:hAnsiTheme="minorHAnsi"/>
              </w:rPr>
            </w:pPr>
          </w:p>
        </w:tc>
        <w:tc>
          <w:tcPr>
            <w:tcW w:w="1276" w:type="dxa"/>
            <w:tcBorders>
              <w:top w:val="nil"/>
              <w:bottom w:val="single" w:sz="4" w:space="0" w:color="auto"/>
            </w:tcBorders>
          </w:tcPr>
          <w:p w14:paraId="0697B4DB" w14:textId="77777777" w:rsidR="001C1363" w:rsidRPr="00BE36E6" w:rsidRDefault="001C1363" w:rsidP="001C1363">
            <w:pPr>
              <w:pStyle w:val="Tekstpodstawowy3"/>
              <w:spacing w:after="0"/>
              <w:jc w:val="center"/>
              <w:rPr>
                <w:rFonts w:asciiTheme="minorHAnsi" w:hAnsiTheme="minorHAnsi"/>
              </w:rPr>
            </w:pPr>
          </w:p>
        </w:tc>
        <w:tc>
          <w:tcPr>
            <w:tcW w:w="1134" w:type="dxa"/>
            <w:tcBorders>
              <w:top w:val="nil"/>
              <w:bottom w:val="single" w:sz="4" w:space="0" w:color="auto"/>
            </w:tcBorders>
          </w:tcPr>
          <w:p w14:paraId="0501F926" w14:textId="77777777" w:rsidR="001C1363" w:rsidRPr="00BE36E6" w:rsidRDefault="001C1363" w:rsidP="001C1363">
            <w:pPr>
              <w:pStyle w:val="Tekstpodstawowy3"/>
              <w:spacing w:after="0"/>
              <w:jc w:val="center"/>
              <w:rPr>
                <w:rFonts w:asciiTheme="minorHAnsi" w:hAnsiTheme="minorHAnsi"/>
              </w:rPr>
            </w:pPr>
          </w:p>
        </w:tc>
        <w:tc>
          <w:tcPr>
            <w:tcW w:w="1134" w:type="dxa"/>
            <w:tcBorders>
              <w:top w:val="nil"/>
              <w:bottom w:val="single" w:sz="4" w:space="0" w:color="auto"/>
            </w:tcBorders>
          </w:tcPr>
          <w:p w14:paraId="37BFD423" w14:textId="77777777" w:rsidR="001C1363" w:rsidRPr="00BE36E6" w:rsidRDefault="001C1363" w:rsidP="001C1363">
            <w:pPr>
              <w:pStyle w:val="Tekstpodstawowy3"/>
              <w:spacing w:after="0"/>
              <w:jc w:val="center"/>
              <w:rPr>
                <w:rFonts w:asciiTheme="minorHAnsi" w:hAnsiTheme="minorHAnsi"/>
              </w:rPr>
            </w:pPr>
          </w:p>
        </w:tc>
        <w:tc>
          <w:tcPr>
            <w:tcW w:w="1418" w:type="dxa"/>
            <w:tcBorders>
              <w:top w:val="nil"/>
              <w:bottom w:val="single" w:sz="4" w:space="0" w:color="auto"/>
            </w:tcBorders>
          </w:tcPr>
          <w:p w14:paraId="553A186F" w14:textId="77777777" w:rsidR="001C1363" w:rsidRPr="00BE36E6" w:rsidRDefault="001C1363" w:rsidP="001C1363">
            <w:pPr>
              <w:pStyle w:val="Tekstpodstawowy3"/>
              <w:spacing w:after="0"/>
              <w:jc w:val="center"/>
              <w:rPr>
                <w:rFonts w:asciiTheme="minorHAnsi" w:hAnsiTheme="minorHAnsi"/>
              </w:rPr>
            </w:pPr>
          </w:p>
        </w:tc>
      </w:tr>
      <w:tr w:rsidR="00437284" w:rsidRPr="00BE36E6" w14:paraId="200EB4BB" w14:textId="77777777" w:rsidTr="008206A7">
        <w:trPr>
          <w:trHeight w:val="471"/>
        </w:trPr>
        <w:tc>
          <w:tcPr>
            <w:tcW w:w="14601" w:type="dxa"/>
            <w:gridSpan w:val="10"/>
            <w:tcBorders>
              <w:top w:val="single" w:sz="4" w:space="0" w:color="auto"/>
              <w:bottom w:val="single" w:sz="4" w:space="0" w:color="auto"/>
            </w:tcBorders>
            <w:shd w:val="clear" w:color="auto" w:fill="F2F2F2"/>
            <w:vAlign w:val="center"/>
          </w:tcPr>
          <w:p w14:paraId="0919062D" w14:textId="55B1E3C2" w:rsidR="00437284" w:rsidRPr="00BE36E6" w:rsidRDefault="00437284" w:rsidP="00437284">
            <w:pPr>
              <w:pStyle w:val="Tekstpodstawowy3"/>
              <w:spacing w:after="0"/>
              <w:rPr>
                <w:rFonts w:asciiTheme="minorHAnsi" w:hAnsiTheme="minorHAnsi"/>
                <w:b/>
              </w:rPr>
            </w:pPr>
            <w:r w:rsidRPr="00BE36E6">
              <w:rPr>
                <w:rFonts w:asciiTheme="minorHAnsi" w:hAnsiTheme="minorHAnsi"/>
                <w:b/>
              </w:rPr>
              <w:t>PAKIET NR 2</w:t>
            </w:r>
            <w:r w:rsidR="003A2D4B">
              <w:rPr>
                <w:rFonts w:asciiTheme="minorHAnsi" w:hAnsiTheme="minorHAnsi"/>
                <w:b/>
              </w:rPr>
              <w:t xml:space="preserve"> – Rękawy Tyvek-folia</w:t>
            </w:r>
          </w:p>
        </w:tc>
      </w:tr>
      <w:tr w:rsidR="005C138A" w:rsidRPr="00BE36E6" w14:paraId="3AAC51C1" w14:textId="77777777" w:rsidTr="001C1363">
        <w:trPr>
          <w:trHeight w:val="566"/>
        </w:trPr>
        <w:tc>
          <w:tcPr>
            <w:tcW w:w="567" w:type="dxa"/>
            <w:tcBorders>
              <w:top w:val="single" w:sz="4" w:space="0" w:color="auto"/>
            </w:tcBorders>
            <w:vAlign w:val="center"/>
          </w:tcPr>
          <w:p w14:paraId="6F382F3D"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lastRenderedPageBreak/>
              <w:t>1</w:t>
            </w:r>
          </w:p>
        </w:tc>
        <w:tc>
          <w:tcPr>
            <w:tcW w:w="4319" w:type="dxa"/>
            <w:tcBorders>
              <w:top w:val="single" w:sz="4" w:space="0" w:color="auto"/>
            </w:tcBorders>
            <w:vAlign w:val="center"/>
          </w:tcPr>
          <w:p w14:paraId="678BC87B" w14:textId="77777777" w:rsidR="003A2D4B" w:rsidRPr="003A2D4B" w:rsidRDefault="003A2D4B" w:rsidP="003A2D4B">
            <w:pPr>
              <w:pStyle w:val="Tekstpodstawowywcity2"/>
              <w:spacing w:after="0" w:line="240" w:lineRule="auto"/>
              <w:ind w:left="0"/>
              <w:rPr>
                <w:rFonts w:asciiTheme="majorHAnsi" w:hAnsiTheme="majorHAnsi"/>
                <w:b/>
                <w:sz w:val="18"/>
                <w:szCs w:val="18"/>
              </w:rPr>
            </w:pPr>
            <w:r w:rsidRPr="003A2D4B">
              <w:rPr>
                <w:rFonts w:asciiTheme="majorHAnsi" w:hAnsiTheme="majorHAnsi"/>
                <w:b/>
                <w:sz w:val="18"/>
                <w:szCs w:val="18"/>
              </w:rPr>
              <w:t>Rękaw Tyvek-folia ze wskaźnikiem procesu VH2O2  szer. 100mm/100m</w:t>
            </w:r>
          </w:p>
          <w:p w14:paraId="59793809" w14:textId="0F1370D9" w:rsidR="005C138A" w:rsidRPr="00BE36E6" w:rsidRDefault="003A2D4B" w:rsidP="001C1363">
            <w:pPr>
              <w:rPr>
                <w:rFonts w:asciiTheme="minorHAnsi" w:hAnsiTheme="minorHAnsi" w:cs="Tahoma"/>
                <w:sz w:val="16"/>
                <w:szCs w:val="16"/>
              </w:rPr>
            </w:pPr>
            <w:r w:rsidRPr="003A2D4B">
              <w:rPr>
                <w:rFonts w:asciiTheme="majorHAnsi" w:hAnsiTheme="majorHAnsi"/>
                <w:sz w:val="18"/>
                <w:szCs w:val="18"/>
              </w:rPr>
              <w:t>Wykonany z włókniny HDPE pod nazwą Tyven oraz wielowarstwowej folii. Na każdym rękawie nadrukowany kod pozwalający dotrzeć do danych procesu produkcji oraz wskaźnik chemiczny typu 1. Rękaw spełnia wymagania normy europejskiej  EN 868-9:2009</w:t>
            </w:r>
          </w:p>
        </w:tc>
        <w:tc>
          <w:tcPr>
            <w:tcW w:w="1068" w:type="dxa"/>
            <w:tcBorders>
              <w:top w:val="single" w:sz="4" w:space="0" w:color="auto"/>
            </w:tcBorders>
            <w:shd w:val="clear" w:color="auto" w:fill="F2F2F2"/>
            <w:vAlign w:val="center"/>
          </w:tcPr>
          <w:p w14:paraId="1A679B4C" w14:textId="527C4619" w:rsidR="005C138A" w:rsidRPr="00BE36E6" w:rsidRDefault="003A2D4B"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 mb</w:t>
            </w:r>
          </w:p>
        </w:tc>
        <w:tc>
          <w:tcPr>
            <w:tcW w:w="1134" w:type="dxa"/>
            <w:tcBorders>
              <w:top w:val="single" w:sz="4" w:space="0" w:color="auto"/>
            </w:tcBorders>
          </w:tcPr>
          <w:p w14:paraId="13BD66EA" w14:textId="77777777" w:rsidR="005C138A" w:rsidRPr="00BE36E6" w:rsidRDefault="005C138A" w:rsidP="003559FF">
            <w:pPr>
              <w:pStyle w:val="Tekstpodstawowy3"/>
              <w:spacing w:after="0"/>
              <w:jc w:val="center"/>
              <w:rPr>
                <w:rFonts w:asciiTheme="minorHAnsi" w:hAnsiTheme="minorHAnsi"/>
              </w:rPr>
            </w:pPr>
          </w:p>
        </w:tc>
        <w:tc>
          <w:tcPr>
            <w:tcW w:w="1275" w:type="dxa"/>
            <w:tcBorders>
              <w:top w:val="single" w:sz="4" w:space="0" w:color="auto"/>
            </w:tcBorders>
          </w:tcPr>
          <w:p w14:paraId="6421CA3D" w14:textId="77777777" w:rsidR="005C138A" w:rsidRPr="00BE36E6" w:rsidRDefault="005C138A" w:rsidP="003559FF">
            <w:pPr>
              <w:pStyle w:val="Tekstpodstawowy3"/>
              <w:spacing w:after="0"/>
              <w:jc w:val="center"/>
              <w:rPr>
                <w:rFonts w:asciiTheme="minorHAnsi" w:hAnsiTheme="minorHAnsi"/>
              </w:rPr>
            </w:pPr>
          </w:p>
        </w:tc>
        <w:tc>
          <w:tcPr>
            <w:tcW w:w="1276" w:type="dxa"/>
            <w:tcBorders>
              <w:top w:val="single" w:sz="4" w:space="0" w:color="auto"/>
            </w:tcBorders>
          </w:tcPr>
          <w:p w14:paraId="7F587EF1" w14:textId="77777777" w:rsidR="005C138A" w:rsidRPr="00BE36E6" w:rsidRDefault="005C138A" w:rsidP="003559FF">
            <w:pPr>
              <w:pStyle w:val="Tekstpodstawowy3"/>
              <w:spacing w:after="0"/>
              <w:jc w:val="center"/>
              <w:rPr>
                <w:rFonts w:asciiTheme="minorHAnsi" w:hAnsiTheme="minorHAnsi"/>
              </w:rPr>
            </w:pPr>
          </w:p>
        </w:tc>
        <w:tc>
          <w:tcPr>
            <w:tcW w:w="1276" w:type="dxa"/>
            <w:tcBorders>
              <w:top w:val="single" w:sz="4" w:space="0" w:color="auto"/>
            </w:tcBorders>
          </w:tcPr>
          <w:p w14:paraId="010ADC44" w14:textId="77777777" w:rsidR="005C138A" w:rsidRPr="00BE36E6" w:rsidRDefault="005C138A" w:rsidP="003559FF">
            <w:pPr>
              <w:pStyle w:val="Tekstpodstawowy3"/>
              <w:spacing w:after="0"/>
              <w:jc w:val="center"/>
              <w:rPr>
                <w:rFonts w:asciiTheme="minorHAnsi" w:hAnsiTheme="minorHAnsi"/>
              </w:rPr>
            </w:pPr>
          </w:p>
        </w:tc>
        <w:tc>
          <w:tcPr>
            <w:tcW w:w="1134" w:type="dxa"/>
            <w:tcBorders>
              <w:top w:val="single" w:sz="4" w:space="0" w:color="auto"/>
            </w:tcBorders>
          </w:tcPr>
          <w:p w14:paraId="18B0C1C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single" w:sz="4" w:space="0" w:color="auto"/>
            </w:tcBorders>
          </w:tcPr>
          <w:p w14:paraId="50075F37" w14:textId="77777777" w:rsidR="005C138A" w:rsidRPr="00BE36E6" w:rsidRDefault="005C138A" w:rsidP="003559FF">
            <w:pPr>
              <w:pStyle w:val="Tekstpodstawowy3"/>
              <w:spacing w:after="0"/>
              <w:jc w:val="center"/>
              <w:rPr>
                <w:rFonts w:asciiTheme="minorHAnsi" w:hAnsiTheme="minorHAnsi"/>
              </w:rPr>
            </w:pPr>
          </w:p>
        </w:tc>
        <w:tc>
          <w:tcPr>
            <w:tcW w:w="1418" w:type="dxa"/>
            <w:tcBorders>
              <w:top w:val="single" w:sz="4" w:space="0" w:color="auto"/>
            </w:tcBorders>
          </w:tcPr>
          <w:p w14:paraId="45DC977C" w14:textId="77777777" w:rsidR="005C138A" w:rsidRPr="00BE36E6" w:rsidRDefault="005C138A" w:rsidP="003559FF">
            <w:pPr>
              <w:pStyle w:val="Tekstpodstawowy3"/>
              <w:spacing w:after="0"/>
              <w:jc w:val="center"/>
              <w:rPr>
                <w:rFonts w:asciiTheme="minorHAnsi" w:hAnsiTheme="minorHAnsi"/>
              </w:rPr>
            </w:pPr>
          </w:p>
        </w:tc>
      </w:tr>
      <w:tr w:rsidR="00437284" w:rsidRPr="00BE36E6" w14:paraId="6EEB5420" w14:textId="77777777" w:rsidTr="003A2D4B">
        <w:trPr>
          <w:trHeight w:val="480"/>
        </w:trPr>
        <w:tc>
          <w:tcPr>
            <w:tcW w:w="14601" w:type="dxa"/>
            <w:gridSpan w:val="10"/>
            <w:tcBorders>
              <w:top w:val="single" w:sz="4" w:space="0" w:color="auto"/>
              <w:bottom w:val="single" w:sz="4" w:space="0" w:color="auto"/>
            </w:tcBorders>
            <w:shd w:val="clear" w:color="auto" w:fill="F2F2F2"/>
          </w:tcPr>
          <w:p w14:paraId="0A3C78A3" w14:textId="77777777" w:rsidR="00437284" w:rsidRPr="00BE36E6" w:rsidRDefault="00437284" w:rsidP="00437284">
            <w:pPr>
              <w:pStyle w:val="Tekstpodstawowy3"/>
              <w:spacing w:after="0"/>
              <w:jc w:val="both"/>
              <w:rPr>
                <w:rFonts w:asciiTheme="minorHAnsi" w:hAnsiTheme="minorHAnsi"/>
              </w:rPr>
            </w:pPr>
            <w:r w:rsidRPr="00BE36E6">
              <w:rPr>
                <w:rFonts w:asciiTheme="minorHAnsi" w:hAnsiTheme="minorHAnsi"/>
              </w:rPr>
              <w:t xml:space="preserve">                                 </w:t>
            </w:r>
          </w:p>
          <w:p w14:paraId="3D11CCD1" w14:textId="21A288AF" w:rsidR="00437284" w:rsidRPr="00BE36E6" w:rsidRDefault="00437284" w:rsidP="00437284">
            <w:pPr>
              <w:pStyle w:val="Tekstpodstawowy3"/>
              <w:spacing w:after="0"/>
              <w:jc w:val="both"/>
              <w:rPr>
                <w:rFonts w:asciiTheme="minorHAnsi" w:hAnsiTheme="minorHAnsi" w:cs="Tahoma"/>
                <w:b/>
              </w:rPr>
            </w:pPr>
            <w:r w:rsidRPr="00BE36E6">
              <w:rPr>
                <w:rFonts w:asciiTheme="minorHAnsi" w:hAnsiTheme="minorHAnsi" w:cs="Tahoma"/>
                <w:b/>
              </w:rPr>
              <w:t>PAKIET NR 3</w:t>
            </w:r>
            <w:r w:rsidR="003A2D4B">
              <w:rPr>
                <w:rFonts w:asciiTheme="minorHAnsi" w:hAnsiTheme="minorHAnsi" w:cs="Tahoma"/>
                <w:b/>
              </w:rPr>
              <w:t xml:space="preserve"> – Testy chemiczne</w:t>
            </w:r>
          </w:p>
        </w:tc>
      </w:tr>
      <w:tr w:rsidR="0060018C" w:rsidRPr="00BE36E6" w14:paraId="080E1EDD" w14:textId="77777777" w:rsidTr="0060018C">
        <w:trPr>
          <w:trHeight w:val="664"/>
        </w:trPr>
        <w:tc>
          <w:tcPr>
            <w:tcW w:w="567" w:type="dxa"/>
            <w:tcBorders>
              <w:top w:val="single" w:sz="4" w:space="0" w:color="auto"/>
            </w:tcBorders>
            <w:vAlign w:val="center"/>
          </w:tcPr>
          <w:p w14:paraId="55074689" w14:textId="77777777" w:rsidR="0060018C" w:rsidRPr="00BE36E6" w:rsidRDefault="0060018C" w:rsidP="0060018C">
            <w:pPr>
              <w:pStyle w:val="Tekstpodstawowy3"/>
              <w:spacing w:after="0"/>
              <w:jc w:val="center"/>
              <w:rPr>
                <w:rFonts w:asciiTheme="minorHAnsi" w:hAnsiTheme="minorHAnsi"/>
                <w:b/>
              </w:rPr>
            </w:pPr>
            <w:r w:rsidRPr="00BE36E6">
              <w:rPr>
                <w:rFonts w:asciiTheme="minorHAnsi" w:hAnsiTheme="minorHAnsi"/>
                <w:b/>
              </w:rPr>
              <w:t>1</w:t>
            </w:r>
          </w:p>
        </w:tc>
        <w:tc>
          <w:tcPr>
            <w:tcW w:w="4319" w:type="dxa"/>
            <w:tcBorders>
              <w:top w:val="single" w:sz="4" w:space="0" w:color="auto"/>
              <w:bottom w:val="single" w:sz="4" w:space="0" w:color="auto"/>
            </w:tcBorders>
            <w:vAlign w:val="center"/>
          </w:tcPr>
          <w:p w14:paraId="1E56D64A"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 xml:space="preserve">Pakiet kontrolny typu BOWIE DICK    </w:t>
            </w:r>
          </w:p>
          <w:p w14:paraId="046792A1" w14:textId="70CFBD8B" w:rsidR="0060018C" w:rsidRPr="0060018C" w:rsidRDefault="0060018C" w:rsidP="0060018C">
            <w:pPr>
              <w:rPr>
                <w:rFonts w:asciiTheme="majorHAnsi" w:hAnsiTheme="majorHAnsi"/>
                <w:sz w:val="18"/>
                <w:szCs w:val="18"/>
              </w:rPr>
            </w:pPr>
            <w:r w:rsidRPr="0060018C">
              <w:rPr>
                <w:rFonts w:asciiTheme="majorHAnsi" w:hAnsiTheme="majorHAnsi"/>
                <w:sz w:val="18"/>
                <w:szCs w:val="18"/>
              </w:rPr>
              <w:t xml:space="preserve">Jednorazowy, niezawierający niebezpiecznych substancji toksycznych, pakiet kontrolny typu Bowie-Dick o parametrach 134°C-3,5 min, kontrolujący penetrację i jakość pary, symulacja ładunku porowatego, arkusz wskaźnikowy wykazujący obecność powietrza, gazów niekondensujących, zbyt dużą wilgotność, przegrzanie pary, kontrastowy kolor przebarwienia – jednoznaczny odczyt. </w:t>
            </w:r>
          </w:p>
          <w:p w14:paraId="479553C1" w14:textId="05E4C6EA" w:rsidR="0060018C" w:rsidRPr="0060018C" w:rsidRDefault="0060018C" w:rsidP="001C1363">
            <w:pPr>
              <w:rPr>
                <w:rFonts w:asciiTheme="minorHAnsi" w:hAnsiTheme="minorHAnsi" w:cs="Tahoma"/>
                <w:sz w:val="18"/>
                <w:szCs w:val="18"/>
              </w:rPr>
            </w:pPr>
            <w:r w:rsidRPr="0060018C">
              <w:rPr>
                <w:rFonts w:asciiTheme="majorHAnsi" w:hAnsiTheme="majorHAnsi"/>
                <w:sz w:val="18"/>
                <w:szCs w:val="18"/>
              </w:rPr>
              <w:t xml:space="preserve">Pakiet zgodny z normą z normą ISO 11140-4. </w:t>
            </w:r>
          </w:p>
        </w:tc>
        <w:tc>
          <w:tcPr>
            <w:tcW w:w="1068" w:type="dxa"/>
            <w:tcBorders>
              <w:top w:val="single" w:sz="4" w:space="0" w:color="auto"/>
              <w:bottom w:val="single" w:sz="4" w:space="0" w:color="auto"/>
            </w:tcBorders>
            <w:shd w:val="clear" w:color="auto" w:fill="F2F2F2"/>
            <w:vAlign w:val="center"/>
          </w:tcPr>
          <w:p w14:paraId="46BAFB7D" w14:textId="2C28B9E3"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 szt.</w:t>
            </w:r>
          </w:p>
        </w:tc>
        <w:tc>
          <w:tcPr>
            <w:tcW w:w="1134" w:type="dxa"/>
            <w:tcBorders>
              <w:top w:val="single" w:sz="4" w:space="0" w:color="auto"/>
              <w:bottom w:val="single" w:sz="4" w:space="0" w:color="auto"/>
            </w:tcBorders>
          </w:tcPr>
          <w:p w14:paraId="0E4EC53A" w14:textId="77777777" w:rsidR="0060018C" w:rsidRPr="00BE36E6" w:rsidRDefault="0060018C" w:rsidP="0060018C">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7EF0FB3D"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DE343B3"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12A9237D"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DC336D1"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451AE9E9" w14:textId="77777777" w:rsidR="0060018C" w:rsidRPr="00BE36E6" w:rsidRDefault="0060018C" w:rsidP="0060018C">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348C5E65" w14:textId="77777777" w:rsidR="0060018C" w:rsidRPr="00BE36E6" w:rsidRDefault="0060018C" w:rsidP="0060018C">
            <w:pPr>
              <w:pStyle w:val="Tekstpodstawowy3"/>
              <w:spacing w:after="0"/>
              <w:jc w:val="center"/>
              <w:rPr>
                <w:rFonts w:asciiTheme="minorHAnsi" w:hAnsiTheme="minorHAnsi"/>
              </w:rPr>
            </w:pPr>
          </w:p>
        </w:tc>
      </w:tr>
      <w:tr w:rsidR="0060018C" w:rsidRPr="00BE36E6" w14:paraId="60EEC22F" w14:textId="77777777" w:rsidTr="001C1363">
        <w:trPr>
          <w:trHeight w:val="1588"/>
        </w:trPr>
        <w:tc>
          <w:tcPr>
            <w:tcW w:w="567" w:type="dxa"/>
            <w:tcBorders>
              <w:top w:val="single" w:sz="4" w:space="0" w:color="auto"/>
            </w:tcBorders>
            <w:vAlign w:val="center"/>
          </w:tcPr>
          <w:p w14:paraId="0FF7727E" w14:textId="7AB13A4B" w:rsidR="0060018C" w:rsidRPr="00BE36E6" w:rsidRDefault="0060018C" w:rsidP="0060018C">
            <w:pPr>
              <w:pStyle w:val="Tekstpodstawowy3"/>
              <w:spacing w:after="0"/>
              <w:jc w:val="center"/>
              <w:rPr>
                <w:rFonts w:asciiTheme="minorHAnsi" w:hAnsiTheme="minorHAnsi"/>
                <w:b/>
              </w:rPr>
            </w:pPr>
            <w:r>
              <w:rPr>
                <w:rFonts w:asciiTheme="minorHAnsi" w:hAnsiTheme="minorHAnsi"/>
                <w:b/>
              </w:rPr>
              <w:t>2</w:t>
            </w:r>
          </w:p>
        </w:tc>
        <w:tc>
          <w:tcPr>
            <w:tcW w:w="4319" w:type="dxa"/>
            <w:tcBorders>
              <w:top w:val="single" w:sz="4" w:space="0" w:color="auto"/>
              <w:bottom w:val="single" w:sz="4" w:space="0" w:color="auto"/>
            </w:tcBorders>
            <w:vAlign w:val="center"/>
          </w:tcPr>
          <w:p w14:paraId="4665B12D"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Test wieloparametrowy do kontroli procesu sterylizacji parą wodną</w:t>
            </w:r>
          </w:p>
          <w:p w14:paraId="22F01415" w14:textId="23FB9736" w:rsidR="0060018C" w:rsidRPr="0060018C" w:rsidRDefault="0060018C" w:rsidP="001C1363">
            <w:pPr>
              <w:pStyle w:val="Tekstpodstawowywcity2"/>
              <w:spacing w:after="0" w:line="240" w:lineRule="auto"/>
              <w:ind w:left="0"/>
              <w:rPr>
                <w:rFonts w:asciiTheme="minorHAnsi" w:hAnsiTheme="minorHAnsi" w:cs="Tahoma"/>
                <w:sz w:val="18"/>
                <w:szCs w:val="18"/>
              </w:rPr>
            </w:pPr>
            <w:r w:rsidRPr="0060018C">
              <w:rPr>
                <w:rFonts w:asciiTheme="majorHAnsi" w:hAnsiTheme="majorHAnsi"/>
                <w:sz w:val="18"/>
                <w:szCs w:val="18"/>
              </w:rPr>
              <w:t>Niezawierający niebezpiecznych substancji toksycznych, laminowany wieloparametrowy wskaźnik paskowy z liniowym ułożeniem substancji wskaźnikowej do kontroli sterylizacji parowej, do stosowania we wszystkich</w:t>
            </w:r>
            <w:r w:rsidRPr="0060018C">
              <w:rPr>
                <w:sz w:val="18"/>
                <w:szCs w:val="18"/>
              </w:rPr>
              <w:t xml:space="preserve"> </w:t>
            </w:r>
            <w:r w:rsidRPr="0060018C">
              <w:rPr>
                <w:rFonts w:asciiTheme="majorHAnsi" w:hAnsiTheme="majorHAnsi"/>
                <w:sz w:val="18"/>
                <w:szCs w:val="18"/>
              </w:rPr>
              <w:t>rodzajach autoklawów. Typ 4 wg ISO 11140-1:2014.</w:t>
            </w:r>
          </w:p>
        </w:tc>
        <w:tc>
          <w:tcPr>
            <w:tcW w:w="1068" w:type="dxa"/>
            <w:tcBorders>
              <w:top w:val="single" w:sz="4" w:space="0" w:color="auto"/>
              <w:bottom w:val="single" w:sz="4" w:space="0" w:color="auto"/>
            </w:tcBorders>
            <w:shd w:val="clear" w:color="auto" w:fill="F2F2F2"/>
            <w:vAlign w:val="center"/>
          </w:tcPr>
          <w:p w14:paraId="6F3F27F7" w14:textId="317012EE"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5 szt.</w:t>
            </w:r>
          </w:p>
        </w:tc>
        <w:tc>
          <w:tcPr>
            <w:tcW w:w="1134" w:type="dxa"/>
            <w:tcBorders>
              <w:top w:val="single" w:sz="4" w:space="0" w:color="auto"/>
              <w:bottom w:val="single" w:sz="4" w:space="0" w:color="auto"/>
            </w:tcBorders>
          </w:tcPr>
          <w:p w14:paraId="64ED33BA" w14:textId="77777777" w:rsidR="0060018C" w:rsidRPr="00BE36E6" w:rsidRDefault="0060018C" w:rsidP="0060018C">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7AE6504A"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0A33266"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3FD15549"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5CC1B074"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0D9B314E" w14:textId="77777777" w:rsidR="0060018C" w:rsidRPr="00BE36E6" w:rsidRDefault="0060018C" w:rsidP="0060018C">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15BF24AD" w14:textId="77777777" w:rsidR="0060018C" w:rsidRPr="00BE36E6" w:rsidRDefault="0060018C" w:rsidP="0060018C">
            <w:pPr>
              <w:pStyle w:val="Tekstpodstawowy3"/>
              <w:spacing w:after="0"/>
              <w:jc w:val="center"/>
              <w:rPr>
                <w:rFonts w:asciiTheme="minorHAnsi" w:hAnsiTheme="minorHAnsi"/>
              </w:rPr>
            </w:pPr>
          </w:p>
        </w:tc>
      </w:tr>
      <w:tr w:rsidR="0060018C" w:rsidRPr="00BE36E6" w14:paraId="5C5033B6" w14:textId="77777777" w:rsidTr="0060018C">
        <w:trPr>
          <w:trHeight w:val="664"/>
        </w:trPr>
        <w:tc>
          <w:tcPr>
            <w:tcW w:w="567" w:type="dxa"/>
            <w:tcBorders>
              <w:top w:val="single" w:sz="4" w:space="0" w:color="auto"/>
            </w:tcBorders>
            <w:vAlign w:val="center"/>
          </w:tcPr>
          <w:p w14:paraId="0BDCA2FD" w14:textId="7C1653CA" w:rsidR="0060018C" w:rsidRDefault="0060018C" w:rsidP="0060018C">
            <w:pPr>
              <w:pStyle w:val="Tekstpodstawowy3"/>
              <w:spacing w:after="0"/>
              <w:jc w:val="center"/>
              <w:rPr>
                <w:rFonts w:asciiTheme="minorHAnsi" w:hAnsiTheme="minorHAnsi"/>
                <w:b/>
              </w:rPr>
            </w:pPr>
            <w:r>
              <w:rPr>
                <w:rFonts w:asciiTheme="minorHAnsi" w:hAnsiTheme="minorHAnsi"/>
                <w:b/>
              </w:rPr>
              <w:t>3</w:t>
            </w:r>
          </w:p>
          <w:p w14:paraId="2B750E87" w14:textId="4A68D5F3" w:rsidR="0060018C" w:rsidRPr="00BE36E6" w:rsidRDefault="0060018C" w:rsidP="0060018C">
            <w:pPr>
              <w:pStyle w:val="Tekstpodstawowy3"/>
              <w:spacing w:after="0"/>
              <w:jc w:val="center"/>
              <w:rPr>
                <w:rFonts w:asciiTheme="minorHAnsi" w:hAnsiTheme="minorHAnsi"/>
                <w:b/>
              </w:rPr>
            </w:pPr>
          </w:p>
        </w:tc>
        <w:tc>
          <w:tcPr>
            <w:tcW w:w="4319" w:type="dxa"/>
            <w:tcBorders>
              <w:top w:val="single" w:sz="4" w:space="0" w:color="auto"/>
              <w:bottom w:val="single" w:sz="4" w:space="0" w:color="auto"/>
            </w:tcBorders>
            <w:vAlign w:val="center"/>
          </w:tcPr>
          <w:p w14:paraId="3EA0EE64"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 xml:space="preserve">Test wieloparametrowy Typ 4 do kontroli procesu sterylizacji plazmowej nadtlenkiem wodoru  </w:t>
            </w:r>
          </w:p>
          <w:p w14:paraId="44BB1AEC" w14:textId="4D52F0ED" w:rsidR="0060018C" w:rsidRPr="0060018C" w:rsidRDefault="0060018C" w:rsidP="0060018C">
            <w:pPr>
              <w:rPr>
                <w:rFonts w:asciiTheme="minorHAnsi" w:hAnsiTheme="minorHAnsi" w:cs="Tahoma"/>
                <w:sz w:val="18"/>
                <w:szCs w:val="18"/>
              </w:rPr>
            </w:pPr>
            <w:r w:rsidRPr="0060018C">
              <w:rPr>
                <w:rFonts w:asciiTheme="majorHAnsi" w:hAnsiTheme="majorHAnsi"/>
                <w:sz w:val="18"/>
                <w:szCs w:val="18"/>
              </w:rPr>
              <w:t xml:space="preserve">Niezawierający niebezpiecznych substancji toksycznych wieloparametrowy wskaźnik do kontroli sterylizacji plazmowej  nadtlenkiem wodoru. Typ 4 wg ISO11140-1:2014. </w:t>
            </w:r>
          </w:p>
        </w:tc>
        <w:tc>
          <w:tcPr>
            <w:tcW w:w="1068" w:type="dxa"/>
            <w:tcBorders>
              <w:top w:val="single" w:sz="4" w:space="0" w:color="auto"/>
              <w:bottom w:val="single" w:sz="4" w:space="0" w:color="auto"/>
            </w:tcBorders>
            <w:shd w:val="clear" w:color="auto" w:fill="F2F2F2"/>
            <w:vAlign w:val="center"/>
          </w:tcPr>
          <w:p w14:paraId="5904AD52" w14:textId="2AE639AA"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5 szt.</w:t>
            </w:r>
          </w:p>
        </w:tc>
        <w:tc>
          <w:tcPr>
            <w:tcW w:w="1134" w:type="dxa"/>
            <w:tcBorders>
              <w:top w:val="single" w:sz="4" w:space="0" w:color="auto"/>
              <w:bottom w:val="single" w:sz="4" w:space="0" w:color="auto"/>
            </w:tcBorders>
          </w:tcPr>
          <w:p w14:paraId="2379F79C" w14:textId="77777777" w:rsidR="0060018C" w:rsidRPr="00BE36E6" w:rsidRDefault="0060018C" w:rsidP="0060018C">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191CE6D4"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04D00D9D"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3CA6F529"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6C17F76A"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6E7B8F52" w14:textId="77777777" w:rsidR="0060018C" w:rsidRPr="00BE36E6" w:rsidRDefault="0060018C" w:rsidP="0060018C">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153639B3" w14:textId="77777777" w:rsidR="0060018C" w:rsidRPr="00BE36E6" w:rsidRDefault="0060018C" w:rsidP="0060018C">
            <w:pPr>
              <w:pStyle w:val="Tekstpodstawowy3"/>
              <w:spacing w:after="0"/>
              <w:jc w:val="center"/>
              <w:rPr>
                <w:rFonts w:asciiTheme="minorHAnsi" w:hAnsiTheme="minorHAnsi"/>
              </w:rPr>
            </w:pPr>
          </w:p>
        </w:tc>
      </w:tr>
      <w:tr w:rsidR="0060018C" w:rsidRPr="00BE36E6" w14:paraId="729C8BEF" w14:textId="77777777" w:rsidTr="0060018C">
        <w:trPr>
          <w:trHeight w:val="664"/>
        </w:trPr>
        <w:tc>
          <w:tcPr>
            <w:tcW w:w="567" w:type="dxa"/>
            <w:tcBorders>
              <w:top w:val="single" w:sz="4" w:space="0" w:color="auto"/>
            </w:tcBorders>
            <w:vAlign w:val="center"/>
          </w:tcPr>
          <w:p w14:paraId="29F2F880" w14:textId="0A542DEB" w:rsidR="0060018C" w:rsidRDefault="0060018C" w:rsidP="0060018C">
            <w:pPr>
              <w:pStyle w:val="Tekstpodstawowy3"/>
              <w:spacing w:after="0"/>
              <w:jc w:val="center"/>
              <w:rPr>
                <w:rFonts w:asciiTheme="minorHAnsi" w:hAnsiTheme="minorHAnsi"/>
                <w:b/>
              </w:rPr>
            </w:pPr>
            <w:r>
              <w:rPr>
                <w:rFonts w:asciiTheme="minorHAnsi" w:hAnsiTheme="minorHAnsi"/>
                <w:b/>
              </w:rPr>
              <w:t>4</w:t>
            </w:r>
          </w:p>
        </w:tc>
        <w:tc>
          <w:tcPr>
            <w:tcW w:w="4319" w:type="dxa"/>
            <w:tcBorders>
              <w:top w:val="single" w:sz="4" w:space="0" w:color="auto"/>
              <w:bottom w:val="single" w:sz="4" w:space="0" w:color="auto"/>
            </w:tcBorders>
            <w:vAlign w:val="center"/>
          </w:tcPr>
          <w:p w14:paraId="68501576" w14:textId="77777777" w:rsidR="0060018C" w:rsidRPr="0060018C" w:rsidRDefault="0060018C" w:rsidP="0060018C">
            <w:pPr>
              <w:pStyle w:val="Tekstpodstawowywcity2"/>
              <w:spacing w:after="0" w:line="240" w:lineRule="auto"/>
              <w:ind w:left="0"/>
              <w:rPr>
                <w:rFonts w:asciiTheme="majorHAnsi" w:hAnsiTheme="majorHAnsi"/>
                <w:sz w:val="18"/>
                <w:szCs w:val="18"/>
              </w:rPr>
            </w:pPr>
            <w:r w:rsidRPr="0060018C">
              <w:rPr>
                <w:rFonts w:asciiTheme="majorHAnsi" w:hAnsiTheme="majorHAnsi"/>
                <w:b/>
                <w:sz w:val="18"/>
                <w:szCs w:val="18"/>
              </w:rPr>
              <w:t xml:space="preserve">Test emulacyjny do kontroli procesu sterylizacji para wodną </w:t>
            </w:r>
            <w:r w:rsidRPr="0060018C">
              <w:rPr>
                <w:rFonts w:asciiTheme="majorHAnsi" w:hAnsiTheme="majorHAnsi"/>
                <w:sz w:val="18"/>
                <w:szCs w:val="18"/>
              </w:rPr>
              <w:t>( 134°C/7 min, 121°C/20 min )</w:t>
            </w:r>
          </w:p>
          <w:p w14:paraId="6933FE65" w14:textId="1F8F18F3" w:rsidR="0060018C" w:rsidRPr="0060018C" w:rsidRDefault="0060018C" w:rsidP="0060018C">
            <w:pPr>
              <w:rPr>
                <w:rFonts w:asciiTheme="minorHAnsi" w:hAnsiTheme="minorHAnsi" w:cs="Tahoma"/>
                <w:sz w:val="18"/>
                <w:szCs w:val="18"/>
              </w:rPr>
            </w:pPr>
            <w:r w:rsidRPr="0060018C">
              <w:rPr>
                <w:rFonts w:asciiTheme="majorHAnsi" w:hAnsiTheme="majorHAnsi"/>
                <w:sz w:val="18"/>
                <w:szCs w:val="18"/>
              </w:rPr>
              <w:t xml:space="preserve">Niezawierający niebezpiecznych substancji toksycznych samoprzylepny wskaźnik emulacyjny do kontroli skuteczności procesu sterylizacji parowej o parametrach </w:t>
            </w:r>
            <w:r w:rsidRPr="0060018C">
              <w:rPr>
                <w:rFonts w:asciiTheme="majorHAnsi" w:hAnsiTheme="majorHAnsi"/>
                <w:sz w:val="18"/>
                <w:szCs w:val="18"/>
              </w:rPr>
              <w:lastRenderedPageBreak/>
              <w:t>134°C/7 min, 121°C/20 min. Klasa 6 wg ISO 11140-1:2014. Na wskaźniku wyraźny nadruk wzornika przebarwienia, kontrastowy kolor przebarwienia -  jednoznaczny odczyt.</w:t>
            </w:r>
            <w:r w:rsidRPr="0060018C">
              <w:rPr>
                <w:rFonts w:asciiTheme="majorHAnsi" w:hAnsiTheme="majorHAnsi" w:cs="Tahoma"/>
                <w:sz w:val="18"/>
                <w:szCs w:val="18"/>
              </w:rPr>
              <w:t xml:space="preserve"> </w:t>
            </w:r>
          </w:p>
        </w:tc>
        <w:tc>
          <w:tcPr>
            <w:tcW w:w="1068" w:type="dxa"/>
            <w:tcBorders>
              <w:top w:val="single" w:sz="4" w:space="0" w:color="auto"/>
              <w:bottom w:val="single" w:sz="4" w:space="0" w:color="auto"/>
            </w:tcBorders>
            <w:shd w:val="clear" w:color="auto" w:fill="F2F2F2"/>
            <w:vAlign w:val="center"/>
          </w:tcPr>
          <w:p w14:paraId="0AB355DE" w14:textId="5D3EFB1C"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lastRenderedPageBreak/>
              <w:t>5 szt.</w:t>
            </w:r>
          </w:p>
        </w:tc>
        <w:tc>
          <w:tcPr>
            <w:tcW w:w="1134" w:type="dxa"/>
            <w:tcBorders>
              <w:top w:val="single" w:sz="4" w:space="0" w:color="auto"/>
              <w:bottom w:val="single" w:sz="4" w:space="0" w:color="auto"/>
            </w:tcBorders>
          </w:tcPr>
          <w:p w14:paraId="1CF1CBB7" w14:textId="77777777" w:rsidR="0060018C" w:rsidRPr="00BE36E6" w:rsidRDefault="0060018C" w:rsidP="0060018C">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0320E973"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20A89C93"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F8B64EE"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21ABF1C7"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5C6727BF" w14:textId="77777777" w:rsidR="0060018C" w:rsidRPr="00BE36E6" w:rsidRDefault="0060018C" w:rsidP="0060018C">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7C6CBD06" w14:textId="77777777" w:rsidR="0060018C" w:rsidRPr="00BE36E6" w:rsidRDefault="0060018C" w:rsidP="0060018C">
            <w:pPr>
              <w:pStyle w:val="Tekstpodstawowy3"/>
              <w:spacing w:after="0"/>
              <w:jc w:val="center"/>
              <w:rPr>
                <w:rFonts w:asciiTheme="minorHAnsi" w:hAnsiTheme="minorHAnsi"/>
              </w:rPr>
            </w:pPr>
          </w:p>
        </w:tc>
      </w:tr>
      <w:tr w:rsidR="0060018C" w:rsidRPr="00BE36E6" w14:paraId="3D3CA40C" w14:textId="77777777" w:rsidTr="0060018C">
        <w:trPr>
          <w:trHeight w:val="664"/>
        </w:trPr>
        <w:tc>
          <w:tcPr>
            <w:tcW w:w="567" w:type="dxa"/>
            <w:tcBorders>
              <w:top w:val="single" w:sz="4" w:space="0" w:color="auto"/>
            </w:tcBorders>
            <w:vAlign w:val="center"/>
          </w:tcPr>
          <w:p w14:paraId="0459D525" w14:textId="5A7236CF" w:rsidR="0060018C" w:rsidRDefault="0060018C" w:rsidP="0060018C">
            <w:pPr>
              <w:pStyle w:val="Tekstpodstawowy3"/>
              <w:spacing w:after="0"/>
              <w:jc w:val="center"/>
              <w:rPr>
                <w:rFonts w:asciiTheme="minorHAnsi" w:hAnsiTheme="minorHAnsi"/>
                <w:b/>
              </w:rPr>
            </w:pPr>
            <w:r>
              <w:rPr>
                <w:rFonts w:asciiTheme="minorHAnsi" w:hAnsiTheme="minorHAnsi"/>
                <w:b/>
              </w:rPr>
              <w:lastRenderedPageBreak/>
              <w:t>5</w:t>
            </w:r>
          </w:p>
        </w:tc>
        <w:tc>
          <w:tcPr>
            <w:tcW w:w="4319" w:type="dxa"/>
            <w:tcBorders>
              <w:top w:val="single" w:sz="4" w:space="0" w:color="auto"/>
              <w:bottom w:val="single" w:sz="4" w:space="0" w:color="auto"/>
            </w:tcBorders>
            <w:vAlign w:val="center"/>
          </w:tcPr>
          <w:p w14:paraId="10BE6EFD"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Wskaźnik monitorujący parametry cyklu dezynfekcji termicznej w myjkach- dezynfektorach</w:t>
            </w:r>
          </w:p>
          <w:p w14:paraId="055292F5" w14:textId="241514C0" w:rsidR="0060018C" w:rsidRPr="0060018C" w:rsidRDefault="0060018C" w:rsidP="0060018C">
            <w:pPr>
              <w:pStyle w:val="Tekstpodstawowywcity2"/>
              <w:spacing w:after="0" w:line="240" w:lineRule="auto"/>
              <w:ind w:left="0"/>
              <w:rPr>
                <w:rFonts w:asciiTheme="minorHAnsi" w:hAnsiTheme="minorHAnsi" w:cs="Tahoma"/>
                <w:sz w:val="18"/>
                <w:szCs w:val="18"/>
              </w:rPr>
            </w:pPr>
            <w:r w:rsidRPr="0060018C">
              <w:rPr>
                <w:rFonts w:asciiTheme="majorHAnsi" w:hAnsiTheme="majorHAnsi"/>
                <w:sz w:val="18"/>
                <w:szCs w:val="18"/>
              </w:rPr>
              <w:t xml:space="preserve">Niezawierający niebezpiecznych substancji toksycznych wskaźnik  chemiczny do kontroli dezynfekcji termicznej w myjni- dezynfektorze w zakresie parametrów: </w:t>
            </w:r>
            <w:smartTag w:uri="urn:schemas-microsoft-com:office:smarttags" w:element="metricconverter">
              <w:smartTagPr>
                <w:attr w:name="ProductID" w:val="93ﾰC"/>
              </w:smartTagPr>
              <w:r w:rsidRPr="0060018C">
                <w:rPr>
                  <w:rFonts w:asciiTheme="majorHAnsi" w:hAnsiTheme="majorHAnsi"/>
                  <w:sz w:val="18"/>
                  <w:szCs w:val="18"/>
                </w:rPr>
                <w:t>93°C</w:t>
              </w:r>
            </w:smartTag>
            <w:r w:rsidRPr="0060018C">
              <w:rPr>
                <w:rFonts w:asciiTheme="majorHAnsi" w:hAnsiTheme="majorHAnsi"/>
                <w:sz w:val="18"/>
                <w:szCs w:val="18"/>
              </w:rPr>
              <w:t xml:space="preserve"> – 10 min, integracja krytycznych parametrów procesu (czas, temperatura )  powoduje jednoznaczną zmianę przebarwienia substancji wskaźnikowej w polu testowym,  jednoznaczna, łatwa interpretacja wyniku</w:t>
            </w:r>
            <w:r w:rsidRPr="0060018C">
              <w:rPr>
                <w:rFonts w:asciiTheme="majorHAnsi" w:hAnsiTheme="majorHAnsi" w:cs="Arial"/>
                <w:sz w:val="18"/>
                <w:szCs w:val="18"/>
              </w:rPr>
              <w:t>.</w:t>
            </w:r>
          </w:p>
        </w:tc>
        <w:tc>
          <w:tcPr>
            <w:tcW w:w="1068" w:type="dxa"/>
            <w:tcBorders>
              <w:top w:val="single" w:sz="4" w:space="0" w:color="auto"/>
              <w:bottom w:val="single" w:sz="4" w:space="0" w:color="auto"/>
            </w:tcBorders>
            <w:shd w:val="clear" w:color="auto" w:fill="F2F2F2"/>
            <w:vAlign w:val="center"/>
          </w:tcPr>
          <w:p w14:paraId="4BDC826A" w14:textId="54343E88"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5 szt.</w:t>
            </w:r>
          </w:p>
        </w:tc>
        <w:tc>
          <w:tcPr>
            <w:tcW w:w="1134" w:type="dxa"/>
            <w:tcBorders>
              <w:top w:val="single" w:sz="4" w:space="0" w:color="auto"/>
              <w:bottom w:val="single" w:sz="4" w:space="0" w:color="auto"/>
            </w:tcBorders>
          </w:tcPr>
          <w:p w14:paraId="65840C4D" w14:textId="77777777" w:rsidR="0060018C" w:rsidRPr="00BE36E6" w:rsidRDefault="0060018C" w:rsidP="0060018C">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15D8C01D"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374EDFB8"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67E95EBF"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EE4BB78"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27F8F4FD" w14:textId="77777777" w:rsidR="0060018C" w:rsidRPr="00BE36E6" w:rsidRDefault="0060018C" w:rsidP="0060018C">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14DB5445" w14:textId="77777777" w:rsidR="0060018C" w:rsidRPr="00BE36E6" w:rsidRDefault="0060018C" w:rsidP="0060018C">
            <w:pPr>
              <w:pStyle w:val="Tekstpodstawowy3"/>
              <w:spacing w:after="0"/>
              <w:jc w:val="center"/>
              <w:rPr>
                <w:rFonts w:asciiTheme="minorHAnsi" w:hAnsiTheme="minorHAnsi"/>
              </w:rPr>
            </w:pPr>
          </w:p>
        </w:tc>
      </w:tr>
      <w:tr w:rsidR="0060018C" w:rsidRPr="00BE36E6" w14:paraId="24BB5836" w14:textId="77777777" w:rsidTr="00255F57">
        <w:trPr>
          <w:trHeight w:val="3832"/>
        </w:trPr>
        <w:tc>
          <w:tcPr>
            <w:tcW w:w="567" w:type="dxa"/>
            <w:tcBorders>
              <w:top w:val="single" w:sz="4" w:space="0" w:color="auto"/>
            </w:tcBorders>
            <w:vAlign w:val="center"/>
          </w:tcPr>
          <w:p w14:paraId="5DEBE00A" w14:textId="6AAD8401" w:rsidR="0060018C" w:rsidRPr="00BE36E6" w:rsidRDefault="0060018C" w:rsidP="0060018C">
            <w:pPr>
              <w:pStyle w:val="Tekstpodstawowy3"/>
              <w:spacing w:after="0"/>
              <w:jc w:val="center"/>
              <w:rPr>
                <w:rFonts w:asciiTheme="minorHAnsi" w:hAnsiTheme="minorHAnsi"/>
                <w:b/>
              </w:rPr>
            </w:pPr>
            <w:r>
              <w:rPr>
                <w:rFonts w:asciiTheme="minorHAnsi" w:hAnsiTheme="minorHAnsi"/>
                <w:b/>
              </w:rPr>
              <w:t>6</w:t>
            </w:r>
          </w:p>
        </w:tc>
        <w:tc>
          <w:tcPr>
            <w:tcW w:w="4319" w:type="dxa"/>
            <w:tcBorders>
              <w:top w:val="single" w:sz="4" w:space="0" w:color="auto"/>
              <w:bottom w:val="single" w:sz="4" w:space="0" w:color="auto"/>
            </w:tcBorders>
            <w:vAlign w:val="center"/>
          </w:tcPr>
          <w:p w14:paraId="4DBAF7D1"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Test zwalniania wsadu z samoprzylepnym wskaźnikiem  do kontroli skuteczności procesu sterylizacji parowej</w:t>
            </w:r>
            <w:r w:rsidRPr="0060018C">
              <w:rPr>
                <w:rFonts w:asciiTheme="majorHAnsi" w:hAnsiTheme="majorHAnsi"/>
                <w:sz w:val="18"/>
                <w:szCs w:val="18"/>
              </w:rPr>
              <w:t xml:space="preserve"> o parametrach ustalonych134ºC/7 min. i 121ºC/20 min., wskaźnik w technologii Typ 6 w opakowaniach: 400 szt. + przyrząd PCD. </w:t>
            </w:r>
            <w:r w:rsidRPr="0060018C">
              <w:rPr>
                <w:rFonts w:asciiTheme="majorHAnsi" w:hAnsiTheme="majorHAnsi"/>
                <w:b/>
                <w:sz w:val="18"/>
                <w:szCs w:val="18"/>
              </w:rPr>
              <w:t xml:space="preserve">               </w:t>
            </w:r>
          </w:p>
          <w:p w14:paraId="654B1602" w14:textId="623901B5" w:rsidR="0060018C" w:rsidRPr="0060018C" w:rsidRDefault="0060018C" w:rsidP="0060018C">
            <w:pPr>
              <w:rPr>
                <w:rFonts w:asciiTheme="majorHAnsi" w:hAnsiTheme="majorHAnsi"/>
                <w:sz w:val="18"/>
                <w:szCs w:val="18"/>
              </w:rPr>
            </w:pPr>
            <w:r w:rsidRPr="0060018C">
              <w:rPr>
                <w:rFonts w:asciiTheme="majorHAnsi" w:hAnsiTheme="majorHAnsi"/>
                <w:sz w:val="18"/>
                <w:szCs w:val="18"/>
              </w:rPr>
              <w:t xml:space="preserve">Niezawierający niebezpiecznych substancji toksycznych test zwalniania wsadu z samoprzylepnym wskaźnikiem  do kontroli skuteczności procesu sterylizacji parowej o parametrach ustalonych134ºC/7 min. i 121ºC/20 min. </w:t>
            </w:r>
          </w:p>
          <w:p w14:paraId="3CFED0B3" w14:textId="5FCAB744" w:rsidR="0060018C" w:rsidRPr="0060018C" w:rsidRDefault="0060018C" w:rsidP="00255F57">
            <w:pPr>
              <w:rPr>
                <w:rFonts w:asciiTheme="minorHAnsi" w:hAnsiTheme="minorHAnsi" w:cs="Tahoma"/>
                <w:sz w:val="18"/>
                <w:szCs w:val="18"/>
              </w:rPr>
            </w:pPr>
            <w:r w:rsidRPr="0060018C">
              <w:rPr>
                <w:rFonts w:asciiTheme="majorHAnsi" w:hAnsiTheme="majorHAnsi"/>
                <w:sz w:val="18"/>
                <w:szCs w:val="18"/>
              </w:rPr>
              <w:t xml:space="preserve">Wskaźnik typ 6 wg ISO 11140-1:2014 w opakowaniach: 400 szt. + przyrząd PCD. Przyrząd w całości wykonany z tworzywa sztucznego klasy medycznej składający się z korpusu, rurki o długości </w:t>
            </w:r>
            <w:smartTag w:uri="urn:schemas-microsoft-com:office:smarttags" w:element="metricconverter">
              <w:smartTagPr>
                <w:attr w:name="ProductID" w:val="1,5 m"/>
              </w:smartTagPr>
              <w:r w:rsidRPr="0060018C">
                <w:rPr>
                  <w:rFonts w:asciiTheme="majorHAnsi" w:hAnsiTheme="majorHAnsi"/>
                  <w:sz w:val="18"/>
                  <w:szCs w:val="18"/>
                </w:rPr>
                <w:t>1,5 m</w:t>
              </w:r>
            </w:smartTag>
            <w:r w:rsidRPr="0060018C">
              <w:rPr>
                <w:rFonts w:asciiTheme="majorHAnsi" w:hAnsiTheme="majorHAnsi"/>
                <w:sz w:val="18"/>
                <w:szCs w:val="18"/>
              </w:rPr>
              <w:t xml:space="preserve"> i średnicy </w:t>
            </w:r>
            <w:smartTag w:uri="urn:schemas-microsoft-com:office:smarttags" w:element="metricconverter">
              <w:smartTagPr>
                <w:attr w:name="ProductID" w:val="2 mm"/>
              </w:smartTagPr>
              <w:r w:rsidRPr="0060018C">
                <w:rPr>
                  <w:rFonts w:asciiTheme="majorHAnsi" w:hAnsiTheme="majorHAnsi"/>
                  <w:sz w:val="18"/>
                  <w:szCs w:val="18"/>
                </w:rPr>
                <w:t>2 mm</w:t>
              </w:r>
            </w:smartTag>
            <w:r w:rsidRPr="0060018C">
              <w:rPr>
                <w:rFonts w:asciiTheme="majorHAnsi" w:hAnsiTheme="majorHAnsi"/>
                <w:sz w:val="18"/>
                <w:szCs w:val="18"/>
              </w:rPr>
              <w:t xml:space="preserve"> oraz przeźroczystej nakrętki umożliwiającej sprawdzenie czy wskaźnik znajduje się w środku bez rozkręcania przyrządu. Na wskaźniku wyraźnie nadrukowany kolor referencyjny przebarwienia.      </w:t>
            </w:r>
          </w:p>
        </w:tc>
        <w:tc>
          <w:tcPr>
            <w:tcW w:w="1068" w:type="dxa"/>
            <w:tcBorders>
              <w:top w:val="single" w:sz="4" w:space="0" w:color="auto"/>
              <w:bottom w:val="single" w:sz="4" w:space="0" w:color="auto"/>
            </w:tcBorders>
            <w:shd w:val="clear" w:color="auto" w:fill="F2F2F2"/>
            <w:vAlign w:val="center"/>
          </w:tcPr>
          <w:p w14:paraId="57928A17" w14:textId="77777777" w:rsidR="0060018C"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 xml:space="preserve">1 zestaw </w:t>
            </w:r>
          </w:p>
          <w:p w14:paraId="1699408A" w14:textId="2BC87431"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+ 5 testów</w:t>
            </w:r>
          </w:p>
        </w:tc>
        <w:tc>
          <w:tcPr>
            <w:tcW w:w="1134" w:type="dxa"/>
            <w:tcBorders>
              <w:top w:val="single" w:sz="4" w:space="0" w:color="auto"/>
              <w:bottom w:val="single" w:sz="4" w:space="0" w:color="auto"/>
            </w:tcBorders>
          </w:tcPr>
          <w:p w14:paraId="104DBBFD" w14:textId="77777777" w:rsidR="0060018C" w:rsidRPr="00BE36E6" w:rsidRDefault="0060018C" w:rsidP="0060018C">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113181D3"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334E35DF" w14:textId="77777777" w:rsidR="0060018C" w:rsidRPr="00BE36E6" w:rsidRDefault="0060018C" w:rsidP="0060018C">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5A758B05"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6A6324F1" w14:textId="77777777" w:rsidR="0060018C" w:rsidRPr="00BE36E6" w:rsidRDefault="0060018C" w:rsidP="0060018C">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88D217E" w14:textId="77777777" w:rsidR="0060018C" w:rsidRPr="00BE36E6" w:rsidRDefault="0060018C" w:rsidP="0060018C">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594AC6D9" w14:textId="77777777" w:rsidR="0060018C" w:rsidRPr="00BE36E6" w:rsidRDefault="0060018C" w:rsidP="0060018C">
            <w:pPr>
              <w:pStyle w:val="Tekstpodstawowy3"/>
              <w:spacing w:after="0"/>
              <w:jc w:val="center"/>
              <w:rPr>
                <w:rFonts w:asciiTheme="minorHAnsi" w:hAnsiTheme="minorHAnsi"/>
              </w:rPr>
            </w:pPr>
          </w:p>
        </w:tc>
      </w:tr>
      <w:tr w:rsidR="00437284" w:rsidRPr="00BE36E6" w14:paraId="087ADB5F" w14:textId="77777777" w:rsidTr="00EB7A75">
        <w:trPr>
          <w:trHeight w:val="420"/>
        </w:trPr>
        <w:tc>
          <w:tcPr>
            <w:tcW w:w="14601" w:type="dxa"/>
            <w:gridSpan w:val="10"/>
            <w:shd w:val="clear" w:color="auto" w:fill="F2F2F2"/>
            <w:vAlign w:val="center"/>
          </w:tcPr>
          <w:p w14:paraId="53C35AAF" w14:textId="1A611CBB" w:rsidR="00437284" w:rsidRPr="00BE36E6" w:rsidRDefault="00437284" w:rsidP="00437284">
            <w:pPr>
              <w:pStyle w:val="Tekstpodstawowy3"/>
              <w:spacing w:after="0"/>
              <w:rPr>
                <w:rFonts w:asciiTheme="minorHAnsi" w:hAnsiTheme="minorHAnsi"/>
              </w:rPr>
            </w:pPr>
            <w:r w:rsidRPr="00BE36E6">
              <w:rPr>
                <w:rFonts w:asciiTheme="minorHAnsi" w:hAnsiTheme="minorHAnsi" w:cs="Tahoma"/>
                <w:b/>
              </w:rPr>
              <w:t>PAKIET NR 4</w:t>
            </w:r>
            <w:r w:rsidR="003A2D4B">
              <w:rPr>
                <w:rFonts w:asciiTheme="minorHAnsi" w:hAnsiTheme="minorHAnsi" w:cs="Tahoma"/>
                <w:b/>
              </w:rPr>
              <w:t xml:space="preserve"> – Koperty i etykiety</w:t>
            </w:r>
          </w:p>
        </w:tc>
      </w:tr>
      <w:tr w:rsidR="0060018C" w:rsidRPr="00BE36E6" w14:paraId="6D606A2F" w14:textId="77777777" w:rsidTr="004F541C">
        <w:trPr>
          <w:trHeight w:val="1113"/>
        </w:trPr>
        <w:tc>
          <w:tcPr>
            <w:tcW w:w="567" w:type="dxa"/>
            <w:vAlign w:val="center"/>
          </w:tcPr>
          <w:p w14:paraId="6C3E7F49" w14:textId="77777777" w:rsidR="0060018C" w:rsidRPr="00BE36E6" w:rsidRDefault="0060018C" w:rsidP="0060018C">
            <w:pPr>
              <w:pStyle w:val="Tekstpodstawowy3"/>
              <w:spacing w:after="0"/>
              <w:jc w:val="center"/>
              <w:rPr>
                <w:rFonts w:asciiTheme="minorHAnsi" w:hAnsiTheme="minorHAnsi"/>
                <w:b/>
              </w:rPr>
            </w:pPr>
            <w:r w:rsidRPr="00BE36E6">
              <w:rPr>
                <w:rFonts w:asciiTheme="minorHAnsi" w:hAnsiTheme="minorHAnsi"/>
                <w:b/>
              </w:rPr>
              <w:t>1</w:t>
            </w:r>
          </w:p>
        </w:tc>
        <w:tc>
          <w:tcPr>
            <w:tcW w:w="4319" w:type="dxa"/>
            <w:tcBorders>
              <w:bottom w:val="single" w:sz="4" w:space="0" w:color="auto"/>
            </w:tcBorders>
          </w:tcPr>
          <w:p w14:paraId="135D01A6"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Koperty na dokumentację procesu ster. para wodną i niskotemperaturową</w:t>
            </w:r>
          </w:p>
          <w:p w14:paraId="5F83B214" w14:textId="68CEF2F0" w:rsidR="0060018C" w:rsidRPr="0060018C" w:rsidRDefault="0060018C" w:rsidP="0060018C">
            <w:pPr>
              <w:pStyle w:val="Tekstpodstawowywcity2"/>
              <w:spacing w:after="0" w:line="240" w:lineRule="auto"/>
              <w:ind w:left="0"/>
              <w:rPr>
                <w:rFonts w:asciiTheme="minorHAnsi" w:hAnsiTheme="minorHAnsi" w:cs="Tahoma"/>
                <w:sz w:val="18"/>
                <w:szCs w:val="18"/>
              </w:rPr>
            </w:pPr>
            <w:r w:rsidRPr="0060018C">
              <w:rPr>
                <w:rFonts w:asciiTheme="majorHAnsi" w:hAnsiTheme="majorHAnsi"/>
                <w:sz w:val="18"/>
                <w:szCs w:val="18"/>
              </w:rPr>
              <w:t xml:space="preserve">Koperty dokumentacyjne przystosowane do etykiet i wskaźników używanych  w kontroli procesu sterylizacji wymienionych powyżej  </w:t>
            </w:r>
          </w:p>
        </w:tc>
        <w:tc>
          <w:tcPr>
            <w:tcW w:w="1068" w:type="dxa"/>
            <w:tcBorders>
              <w:bottom w:val="single" w:sz="4" w:space="0" w:color="auto"/>
            </w:tcBorders>
            <w:shd w:val="clear" w:color="auto" w:fill="F2F2F2"/>
            <w:vAlign w:val="center"/>
          </w:tcPr>
          <w:p w14:paraId="5A539F5A" w14:textId="75E656BD"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 szt.</w:t>
            </w:r>
          </w:p>
        </w:tc>
        <w:tc>
          <w:tcPr>
            <w:tcW w:w="1134" w:type="dxa"/>
            <w:tcBorders>
              <w:bottom w:val="single" w:sz="4" w:space="0" w:color="auto"/>
            </w:tcBorders>
          </w:tcPr>
          <w:p w14:paraId="551523B9" w14:textId="77777777" w:rsidR="0060018C" w:rsidRPr="00BE36E6" w:rsidRDefault="0060018C" w:rsidP="0060018C">
            <w:pPr>
              <w:pStyle w:val="Tekstpodstawowy3"/>
              <w:spacing w:after="0"/>
              <w:jc w:val="center"/>
              <w:rPr>
                <w:rFonts w:asciiTheme="minorHAnsi" w:hAnsiTheme="minorHAnsi"/>
              </w:rPr>
            </w:pPr>
          </w:p>
        </w:tc>
        <w:tc>
          <w:tcPr>
            <w:tcW w:w="1275" w:type="dxa"/>
            <w:tcBorders>
              <w:bottom w:val="single" w:sz="4" w:space="0" w:color="auto"/>
            </w:tcBorders>
          </w:tcPr>
          <w:p w14:paraId="27085CDB" w14:textId="77777777" w:rsidR="0060018C" w:rsidRPr="00BE36E6" w:rsidRDefault="0060018C" w:rsidP="0060018C">
            <w:pPr>
              <w:pStyle w:val="Tekstpodstawowy3"/>
              <w:spacing w:after="0"/>
              <w:jc w:val="center"/>
              <w:rPr>
                <w:rFonts w:asciiTheme="minorHAnsi" w:hAnsiTheme="minorHAnsi"/>
              </w:rPr>
            </w:pPr>
          </w:p>
        </w:tc>
        <w:tc>
          <w:tcPr>
            <w:tcW w:w="1276" w:type="dxa"/>
            <w:tcBorders>
              <w:bottom w:val="single" w:sz="4" w:space="0" w:color="auto"/>
            </w:tcBorders>
          </w:tcPr>
          <w:p w14:paraId="06DEFF93" w14:textId="77777777" w:rsidR="0060018C" w:rsidRPr="00BE36E6" w:rsidRDefault="0060018C" w:rsidP="0060018C">
            <w:pPr>
              <w:pStyle w:val="Tekstpodstawowy3"/>
              <w:spacing w:after="0"/>
              <w:jc w:val="center"/>
              <w:rPr>
                <w:rFonts w:asciiTheme="minorHAnsi" w:hAnsiTheme="minorHAnsi"/>
              </w:rPr>
            </w:pPr>
          </w:p>
        </w:tc>
        <w:tc>
          <w:tcPr>
            <w:tcW w:w="1276" w:type="dxa"/>
            <w:tcBorders>
              <w:bottom w:val="single" w:sz="4" w:space="0" w:color="auto"/>
            </w:tcBorders>
          </w:tcPr>
          <w:p w14:paraId="33FF5EDA" w14:textId="77777777" w:rsidR="0060018C" w:rsidRPr="00BE36E6" w:rsidRDefault="0060018C" w:rsidP="0060018C">
            <w:pPr>
              <w:pStyle w:val="Tekstpodstawowy3"/>
              <w:spacing w:after="0"/>
              <w:jc w:val="center"/>
              <w:rPr>
                <w:rFonts w:asciiTheme="minorHAnsi" w:hAnsiTheme="minorHAnsi"/>
              </w:rPr>
            </w:pPr>
          </w:p>
        </w:tc>
        <w:tc>
          <w:tcPr>
            <w:tcW w:w="1134" w:type="dxa"/>
            <w:tcBorders>
              <w:bottom w:val="single" w:sz="4" w:space="0" w:color="auto"/>
            </w:tcBorders>
          </w:tcPr>
          <w:p w14:paraId="66E6B0BA" w14:textId="77777777" w:rsidR="0060018C" w:rsidRPr="00BE36E6" w:rsidRDefault="0060018C" w:rsidP="0060018C">
            <w:pPr>
              <w:pStyle w:val="Tekstpodstawowy3"/>
              <w:spacing w:after="0"/>
              <w:jc w:val="center"/>
              <w:rPr>
                <w:rFonts w:asciiTheme="minorHAnsi" w:hAnsiTheme="minorHAnsi"/>
              </w:rPr>
            </w:pPr>
          </w:p>
        </w:tc>
        <w:tc>
          <w:tcPr>
            <w:tcW w:w="1134" w:type="dxa"/>
            <w:tcBorders>
              <w:bottom w:val="single" w:sz="4" w:space="0" w:color="auto"/>
            </w:tcBorders>
          </w:tcPr>
          <w:p w14:paraId="3B16C01D" w14:textId="77777777" w:rsidR="0060018C" w:rsidRPr="00BE36E6" w:rsidRDefault="0060018C" w:rsidP="0060018C">
            <w:pPr>
              <w:pStyle w:val="Tekstpodstawowy3"/>
              <w:spacing w:after="0"/>
              <w:jc w:val="center"/>
              <w:rPr>
                <w:rFonts w:asciiTheme="minorHAnsi" w:hAnsiTheme="minorHAnsi"/>
              </w:rPr>
            </w:pPr>
          </w:p>
        </w:tc>
        <w:tc>
          <w:tcPr>
            <w:tcW w:w="1418" w:type="dxa"/>
          </w:tcPr>
          <w:p w14:paraId="72D4EBA1" w14:textId="77777777" w:rsidR="0060018C" w:rsidRPr="00BE36E6" w:rsidRDefault="0060018C" w:rsidP="0060018C">
            <w:pPr>
              <w:pStyle w:val="Tekstpodstawowy3"/>
              <w:spacing w:after="0"/>
              <w:jc w:val="center"/>
              <w:rPr>
                <w:rFonts w:asciiTheme="minorHAnsi" w:hAnsiTheme="minorHAnsi"/>
              </w:rPr>
            </w:pPr>
          </w:p>
        </w:tc>
      </w:tr>
      <w:tr w:rsidR="0060018C" w:rsidRPr="00BE36E6" w14:paraId="34BAA73E" w14:textId="77777777" w:rsidTr="0089283E">
        <w:trPr>
          <w:trHeight w:val="471"/>
        </w:trPr>
        <w:tc>
          <w:tcPr>
            <w:tcW w:w="567" w:type="dxa"/>
            <w:vAlign w:val="center"/>
          </w:tcPr>
          <w:p w14:paraId="26D68017" w14:textId="77777777" w:rsidR="0060018C" w:rsidRPr="00BE36E6" w:rsidRDefault="0060018C" w:rsidP="0060018C">
            <w:pPr>
              <w:pStyle w:val="Tekstpodstawowy3"/>
              <w:spacing w:after="0"/>
              <w:jc w:val="center"/>
              <w:rPr>
                <w:rFonts w:asciiTheme="minorHAnsi" w:hAnsiTheme="minorHAnsi"/>
                <w:b/>
              </w:rPr>
            </w:pPr>
            <w:r w:rsidRPr="00BE36E6">
              <w:rPr>
                <w:rFonts w:asciiTheme="minorHAnsi" w:hAnsiTheme="minorHAnsi"/>
                <w:b/>
              </w:rPr>
              <w:lastRenderedPageBreak/>
              <w:t>2</w:t>
            </w:r>
          </w:p>
        </w:tc>
        <w:tc>
          <w:tcPr>
            <w:tcW w:w="4319" w:type="dxa"/>
            <w:tcBorders>
              <w:bottom w:val="single" w:sz="4" w:space="0" w:color="auto"/>
            </w:tcBorders>
          </w:tcPr>
          <w:p w14:paraId="28B0B6F8"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 xml:space="preserve">Etykiety samoprzylepne do kontroli procesu sterylizacji plazmowej nadtlenkiem wodoru  </w:t>
            </w:r>
          </w:p>
          <w:p w14:paraId="0DFCC54E" w14:textId="71ACB69A" w:rsidR="0060018C" w:rsidRPr="0060018C" w:rsidRDefault="0060018C" w:rsidP="0060018C">
            <w:pPr>
              <w:jc w:val="both"/>
              <w:rPr>
                <w:rFonts w:asciiTheme="minorHAnsi" w:hAnsiTheme="minorHAnsi" w:cs="Tahoma"/>
                <w:sz w:val="18"/>
                <w:szCs w:val="18"/>
              </w:rPr>
            </w:pPr>
            <w:r w:rsidRPr="0060018C">
              <w:rPr>
                <w:rFonts w:asciiTheme="majorHAnsi" w:hAnsiTheme="majorHAnsi"/>
                <w:sz w:val="18"/>
                <w:szCs w:val="18"/>
              </w:rPr>
              <w:t>Niezawierające niebezpiecznych substancji toksycznych etykiety podwójnie przylepne ze wskaźnikiem  procesu sterylizacji  parą wodną z pięcioma miejscami informacyjnymi- nadruk poprzeczny do kierunku rozwijania taśmy(do metkownicy typu BLITZ o symbolu T222</w:t>
            </w:r>
            <w:r>
              <w:rPr>
                <w:rFonts w:asciiTheme="majorHAnsi" w:hAnsiTheme="majorHAnsi"/>
                <w:sz w:val="18"/>
                <w:szCs w:val="18"/>
              </w:rPr>
              <w:t xml:space="preserve">) </w:t>
            </w:r>
          </w:p>
        </w:tc>
        <w:tc>
          <w:tcPr>
            <w:tcW w:w="1068" w:type="dxa"/>
            <w:tcBorders>
              <w:bottom w:val="single" w:sz="4" w:space="0" w:color="auto"/>
            </w:tcBorders>
            <w:shd w:val="clear" w:color="auto" w:fill="F2F2F2"/>
            <w:vAlign w:val="center"/>
          </w:tcPr>
          <w:p w14:paraId="3529F7BC" w14:textId="209A9656" w:rsidR="0060018C" w:rsidRPr="00BE36E6" w:rsidRDefault="0060018C"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20 etykiet</w:t>
            </w:r>
          </w:p>
        </w:tc>
        <w:tc>
          <w:tcPr>
            <w:tcW w:w="1134" w:type="dxa"/>
            <w:tcBorders>
              <w:bottom w:val="single" w:sz="4" w:space="0" w:color="auto"/>
            </w:tcBorders>
          </w:tcPr>
          <w:p w14:paraId="2611BC31" w14:textId="77777777" w:rsidR="0060018C" w:rsidRPr="00BE36E6" w:rsidRDefault="0060018C" w:rsidP="0060018C">
            <w:pPr>
              <w:pStyle w:val="Tekstpodstawowy3"/>
              <w:spacing w:after="0"/>
              <w:jc w:val="center"/>
              <w:rPr>
                <w:rFonts w:asciiTheme="minorHAnsi" w:hAnsiTheme="minorHAnsi"/>
              </w:rPr>
            </w:pPr>
          </w:p>
        </w:tc>
        <w:tc>
          <w:tcPr>
            <w:tcW w:w="1275" w:type="dxa"/>
            <w:tcBorders>
              <w:bottom w:val="single" w:sz="4" w:space="0" w:color="auto"/>
            </w:tcBorders>
          </w:tcPr>
          <w:p w14:paraId="116D75ED" w14:textId="77777777" w:rsidR="0060018C" w:rsidRPr="00BE36E6" w:rsidRDefault="0060018C" w:rsidP="0060018C">
            <w:pPr>
              <w:pStyle w:val="Tekstpodstawowy3"/>
              <w:spacing w:after="0"/>
              <w:jc w:val="center"/>
              <w:rPr>
                <w:rFonts w:asciiTheme="minorHAnsi" w:hAnsiTheme="minorHAnsi"/>
              </w:rPr>
            </w:pPr>
          </w:p>
        </w:tc>
        <w:tc>
          <w:tcPr>
            <w:tcW w:w="1276" w:type="dxa"/>
            <w:tcBorders>
              <w:bottom w:val="single" w:sz="4" w:space="0" w:color="auto"/>
            </w:tcBorders>
          </w:tcPr>
          <w:p w14:paraId="2F51BB92" w14:textId="77777777" w:rsidR="0060018C" w:rsidRPr="00BE36E6" w:rsidRDefault="0060018C" w:rsidP="0060018C">
            <w:pPr>
              <w:pStyle w:val="Tekstpodstawowy3"/>
              <w:spacing w:after="0"/>
              <w:jc w:val="center"/>
              <w:rPr>
                <w:rFonts w:asciiTheme="minorHAnsi" w:hAnsiTheme="minorHAnsi"/>
              </w:rPr>
            </w:pPr>
          </w:p>
        </w:tc>
        <w:tc>
          <w:tcPr>
            <w:tcW w:w="1276" w:type="dxa"/>
            <w:tcBorders>
              <w:bottom w:val="single" w:sz="4" w:space="0" w:color="auto"/>
            </w:tcBorders>
          </w:tcPr>
          <w:p w14:paraId="6D95ABE6" w14:textId="77777777" w:rsidR="0060018C" w:rsidRPr="00BE36E6" w:rsidRDefault="0060018C" w:rsidP="0060018C">
            <w:pPr>
              <w:pStyle w:val="Tekstpodstawowy3"/>
              <w:spacing w:after="0"/>
              <w:jc w:val="center"/>
              <w:rPr>
                <w:rFonts w:asciiTheme="minorHAnsi" w:hAnsiTheme="minorHAnsi"/>
              </w:rPr>
            </w:pPr>
          </w:p>
        </w:tc>
        <w:tc>
          <w:tcPr>
            <w:tcW w:w="1134" w:type="dxa"/>
            <w:tcBorders>
              <w:bottom w:val="single" w:sz="4" w:space="0" w:color="auto"/>
            </w:tcBorders>
          </w:tcPr>
          <w:p w14:paraId="21F08AEC" w14:textId="77777777" w:rsidR="0060018C" w:rsidRPr="00BE36E6" w:rsidRDefault="0060018C" w:rsidP="0060018C">
            <w:pPr>
              <w:pStyle w:val="Tekstpodstawowy3"/>
              <w:spacing w:after="0"/>
              <w:jc w:val="center"/>
              <w:rPr>
                <w:rFonts w:asciiTheme="minorHAnsi" w:hAnsiTheme="minorHAnsi"/>
              </w:rPr>
            </w:pPr>
          </w:p>
        </w:tc>
        <w:tc>
          <w:tcPr>
            <w:tcW w:w="1134" w:type="dxa"/>
            <w:tcBorders>
              <w:bottom w:val="single" w:sz="4" w:space="0" w:color="auto"/>
            </w:tcBorders>
          </w:tcPr>
          <w:p w14:paraId="240E36A9" w14:textId="77777777" w:rsidR="0060018C" w:rsidRPr="00BE36E6" w:rsidRDefault="0060018C" w:rsidP="0060018C">
            <w:pPr>
              <w:pStyle w:val="Tekstpodstawowy3"/>
              <w:spacing w:after="0"/>
              <w:jc w:val="center"/>
              <w:rPr>
                <w:rFonts w:asciiTheme="minorHAnsi" w:hAnsiTheme="minorHAnsi"/>
              </w:rPr>
            </w:pPr>
          </w:p>
        </w:tc>
        <w:tc>
          <w:tcPr>
            <w:tcW w:w="1418" w:type="dxa"/>
          </w:tcPr>
          <w:p w14:paraId="5053AA57" w14:textId="77777777" w:rsidR="0060018C" w:rsidRPr="00BE36E6" w:rsidRDefault="0060018C" w:rsidP="0060018C">
            <w:pPr>
              <w:pStyle w:val="Tekstpodstawowy3"/>
              <w:spacing w:after="0"/>
              <w:jc w:val="center"/>
              <w:rPr>
                <w:rFonts w:asciiTheme="minorHAnsi" w:hAnsiTheme="minorHAnsi"/>
              </w:rPr>
            </w:pPr>
          </w:p>
        </w:tc>
      </w:tr>
      <w:tr w:rsidR="0060018C" w:rsidRPr="00BE36E6" w14:paraId="5931DB25" w14:textId="77777777" w:rsidTr="004F541C">
        <w:trPr>
          <w:trHeight w:val="713"/>
        </w:trPr>
        <w:tc>
          <w:tcPr>
            <w:tcW w:w="567" w:type="dxa"/>
            <w:vAlign w:val="center"/>
          </w:tcPr>
          <w:p w14:paraId="77AED4FB" w14:textId="77777777" w:rsidR="0060018C" w:rsidRPr="00BE36E6" w:rsidRDefault="0060018C" w:rsidP="0060018C">
            <w:pPr>
              <w:pStyle w:val="Tekstpodstawowy3"/>
              <w:spacing w:after="0"/>
              <w:jc w:val="center"/>
              <w:rPr>
                <w:rFonts w:asciiTheme="minorHAnsi" w:hAnsiTheme="minorHAnsi"/>
                <w:b/>
              </w:rPr>
            </w:pPr>
            <w:r w:rsidRPr="00BE36E6">
              <w:rPr>
                <w:rFonts w:asciiTheme="minorHAnsi" w:hAnsiTheme="minorHAnsi"/>
                <w:b/>
              </w:rPr>
              <w:t>3</w:t>
            </w:r>
          </w:p>
        </w:tc>
        <w:tc>
          <w:tcPr>
            <w:tcW w:w="4319" w:type="dxa"/>
            <w:tcBorders>
              <w:bottom w:val="single" w:sz="4" w:space="0" w:color="auto"/>
            </w:tcBorders>
          </w:tcPr>
          <w:p w14:paraId="19A33993" w14:textId="77777777" w:rsidR="0060018C" w:rsidRPr="0060018C" w:rsidRDefault="0060018C" w:rsidP="0060018C">
            <w:pPr>
              <w:pStyle w:val="Tekstpodstawowywcity2"/>
              <w:spacing w:after="0" w:line="240" w:lineRule="auto"/>
              <w:ind w:left="0"/>
              <w:rPr>
                <w:rFonts w:asciiTheme="majorHAnsi" w:hAnsiTheme="majorHAnsi"/>
                <w:b/>
                <w:sz w:val="18"/>
                <w:szCs w:val="18"/>
              </w:rPr>
            </w:pPr>
            <w:r w:rsidRPr="0060018C">
              <w:rPr>
                <w:rFonts w:asciiTheme="majorHAnsi" w:hAnsiTheme="majorHAnsi"/>
                <w:b/>
                <w:sz w:val="18"/>
                <w:szCs w:val="18"/>
              </w:rPr>
              <w:t xml:space="preserve">Etykiety samoprzylepne do kontroli procesu sterylizacji parą wodną  </w:t>
            </w:r>
          </w:p>
          <w:p w14:paraId="092D8AC3" w14:textId="5ED03DF9" w:rsidR="0060018C" w:rsidRPr="0060018C" w:rsidRDefault="0060018C" w:rsidP="0060018C">
            <w:pPr>
              <w:jc w:val="both"/>
              <w:rPr>
                <w:rFonts w:asciiTheme="minorHAnsi" w:hAnsiTheme="minorHAnsi" w:cs="Tahoma"/>
                <w:sz w:val="18"/>
                <w:szCs w:val="18"/>
              </w:rPr>
            </w:pPr>
            <w:r w:rsidRPr="0060018C">
              <w:rPr>
                <w:rFonts w:asciiTheme="majorHAnsi" w:hAnsiTheme="majorHAnsi"/>
                <w:sz w:val="18"/>
                <w:szCs w:val="18"/>
              </w:rPr>
              <w:t xml:space="preserve">Niezawierające niebezpiecznych substancji toksycznych etykiety podwójnie przylepne ze wskaźnikiem  procesu sterylizacji  plazmowej nadtlenkiem wodoru z pięcioma miejscami informacyjnymi- nadruk na Tyveku, poprzeczny do kierunku rozwijania taśmy(do metkownicy typu BLITZ o symbolu T 222 ) </w:t>
            </w:r>
          </w:p>
        </w:tc>
        <w:tc>
          <w:tcPr>
            <w:tcW w:w="1068" w:type="dxa"/>
            <w:tcBorders>
              <w:bottom w:val="single" w:sz="4" w:space="0" w:color="auto"/>
            </w:tcBorders>
            <w:shd w:val="clear" w:color="auto" w:fill="F2F2F2"/>
            <w:vAlign w:val="center"/>
          </w:tcPr>
          <w:p w14:paraId="33310BC5" w14:textId="1CF435B6" w:rsidR="0060018C" w:rsidRPr="00BE36E6" w:rsidRDefault="00255F57" w:rsidP="0060018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20 etykiet</w:t>
            </w:r>
          </w:p>
        </w:tc>
        <w:tc>
          <w:tcPr>
            <w:tcW w:w="1134" w:type="dxa"/>
            <w:tcBorders>
              <w:bottom w:val="single" w:sz="4" w:space="0" w:color="auto"/>
            </w:tcBorders>
          </w:tcPr>
          <w:p w14:paraId="7B9D4F7E" w14:textId="77777777" w:rsidR="0060018C" w:rsidRPr="00BE36E6" w:rsidRDefault="0060018C" w:rsidP="0060018C">
            <w:pPr>
              <w:pStyle w:val="Tekstpodstawowy3"/>
              <w:spacing w:after="0"/>
              <w:jc w:val="center"/>
              <w:rPr>
                <w:rFonts w:asciiTheme="minorHAnsi" w:hAnsiTheme="minorHAnsi"/>
              </w:rPr>
            </w:pPr>
          </w:p>
        </w:tc>
        <w:tc>
          <w:tcPr>
            <w:tcW w:w="1275" w:type="dxa"/>
            <w:tcBorders>
              <w:bottom w:val="single" w:sz="4" w:space="0" w:color="auto"/>
            </w:tcBorders>
          </w:tcPr>
          <w:p w14:paraId="5CFF8730" w14:textId="77777777" w:rsidR="0060018C" w:rsidRPr="00BE36E6" w:rsidRDefault="0060018C" w:rsidP="0060018C">
            <w:pPr>
              <w:pStyle w:val="Tekstpodstawowy3"/>
              <w:spacing w:after="0"/>
              <w:jc w:val="center"/>
              <w:rPr>
                <w:rFonts w:asciiTheme="minorHAnsi" w:hAnsiTheme="minorHAnsi"/>
              </w:rPr>
            </w:pPr>
          </w:p>
        </w:tc>
        <w:tc>
          <w:tcPr>
            <w:tcW w:w="1276" w:type="dxa"/>
            <w:tcBorders>
              <w:bottom w:val="single" w:sz="4" w:space="0" w:color="auto"/>
            </w:tcBorders>
          </w:tcPr>
          <w:p w14:paraId="51F2245D" w14:textId="77777777" w:rsidR="0060018C" w:rsidRPr="00BE36E6" w:rsidRDefault="0060018C" w:rsidP="0060018C">
            <w:pPr>
              <w:pStyle w:val="Tekstpodstawowy3"/>
              <w:spacing w:after="0"/>
              <w:jc w:val="center"/>
              <w:rPr>
                <w:rFonts w:asciiTheme="minorHAnsi" w:hAnsiTheme="minorHAnsi"/>
              </w:rPr>
            </w:pPr>
          </w:p>
        </w:tc>
        <w:tc>
          <w:tcPr>
            <w:tcW w:w="1276" w:type="dxa"/>
            <w:tcBorders>
              <w:bottom w:val="single" w:sz="4" w:space="0" w:color="auto"/>
            </w:tcBorders>
          </w:tcPr>
          <w:p w14:paraId="5169DB27" w14:textId="77777777" w:rsidR="0060018C" w:rsidRPr="00BE36E6" w:rsidRDefault="0060018C" w:rsidP="0060018C">
            <w:pPr>
              <w:pStyle w:val="Tekstpodstawowy3"/>
              <w:spacing w:after="0"/>
              <w:jc w:val="center"/>
              <w:rPr>
                <w:rFonts w:asciiTheme="minorHAnsi" w:hAnsiTheme="minorHAnsi"/>
              </w:rPr>
            </w:pPr>
          </w:p>
        </w:tc>
        <w:tc>
          <w:tcPr>
            <w:tcW w:w="1134" w:type="dxa"/>
            <w:tcBorders>
              <w:bottom w:val="single" w:sz="4" w:space="0" w:color="auto"/>
            </w:tcBorders>
          </w:tcPr>
          <w:p w14:paraId="65093910" w14:textId="77777777" w:rsidR="0060018C" w:rsidRPr="00BE36E6" w:rsidRDefault="0060018C" w:rsidP="0060018C">
            <w:pPr>
              <w:pStyle w:val="Tekstpodstawowy3"/>
              <w:spacing w:after="0"/>
              <w:jc w:val="center"/>
              <w:rPr>
                <w:rFonts w:asciiTheme="minorHAnsi" w:hAnsiTheme="minorHAnsi"/>
              </w:rPr>
            </w:pPr>
          </w:p>
        </w:tc>
        <w:tc>
          <w:tcPr>
            <w:tcW w:w="1134" w:type="dxa"/>
            <w:tcBorders>
              <w:bottom w:val="single" w:sz="4" w:space="0" w:color="auto"/>
            </w:tcBorders>
          </w:tcPr>
          <w:p w14:paraId="2DDF091C" w14:textId="77777777" w:rsidR="0060018C" w:rsidRPr="00BE36E6" w:rsidRDefault="0060018C" w:rsidP="0060018C">
            <w:pPr>
              <w:pStyle w:val="Tekstpodstawowy3"/>
              <w:spacing w:after="0"/>
              <w:jc w:val="center"/>
              <w:rPr>
                <w:rFonts w:asciiTheme="minorHAnsi" w:hAnsiTheme="minorHAnsi"/>
              </w:rPr>
            </w:pPr>
          </w:p>
        </w:tc>
        <w:tc>
          <w:tcPr>
            <w:tcW w:w="1418" w:type="dxa"/>
          </w:tcPr>
          <w:p w14:paraId="606D3908" w14:textId="77777777" w:rsidR="0060018C" w:rsidRPr="00BE36E6" w:rsidRDefault="0060018C" w:rsidP="0060018C">
            <w:pPr>
              <w:pStyle w:val="Tekstpodstawowy3"/>
              <w:spacing w:after="0"/>
              <w:jc w:val="center"/>
              <w:rPr>
                <w:rFonts w:asciiTheme="minorHAnsi" w:hAnsiTheme="minorHAnsi"/>
              </w:rPr>
            </w:pPr>
          </w:p>
        </w:tc>
      </w:tr>
      <w:tr w:rsidR="00437284" w:rsidRPr="00BE36E6" w14:paraId="644674DF" w14:textId="77777777" w:rsidTr="00566423">
        <w:trPr>
          <w:trHeight w:val="522"/>
        </w:trPr>
        <w:tc>
          <w:tcPr>
            <w:tcW w:w="14601" w:type="dxa"/>
            <w:gridSpan w:val="10"/>
            <w:shd w:val="clear" w:color="auto" w:fill="F2F2F2"/>
            <w:vAlign w:val="center"/>
          </w:tcPr>
          <w:p w14:paraId="78B8CABC" w14:textId="1F324349" w:rsidR="00437284" w:rsidRPr="00BE36E6" w:rsidRDefault="00437284" w:rsidP="00437284">
            <w:pPr>
              <w:pStyle w:val="Tekstpodstawowy3"/>
              <w:spacing w:after="0"/>
              <w:rPr>
                <w:rFonts w:asciiTheme="minorHAnsi" w:hAnsiTheme="minorHAnsi"/>
              </w:rPr>
            </w:pPr>
            <w:r w:rsidRPr="00BE36E6">
              <w:rPr>
                <w:rFonts w:asciiTheme="minorHAnsi" w:hAnsiTheme="minorHAnsi" w:cs="Tahoma"/>
                <w:b/>
              </w:rPr>
              <w:t>PAKIET NR 5</w:t>
            </w:r>
            <w:r w:rsidR="003A2D4B">
              <w:rPr>
                <w:rFonts w:asciiTheme="minorHAnsi" w:hAnsiTheme="minorHAnsi" w:cs="Tahoma"/>
                <w:b/>
              </w:rPr>
              <w:t xml:space="preserve"> – Wskaźniki biologiczne</w:t>
            </w:r>
          </w:p>
        </w:tc>
      </w:tr>
      <w:tr w:rsidR="00255F57" w:rsidRPr="00BE36E6" w14:paraId="41D0F25D" w14:textId="77777777" w:rsidTr="004F541C">
        <w:trPr>
          <w:trHeight w:val="1723"/>
        </w:trPr>
        <w:tc>
          <w:tcPr>
            <w:tcW w:w="567" w:type="dxa"/>
            <w:vAlign w:val="center"/>
          </w:tcPr>
          <w:p w14:paraId="7DFE8279" w14:textId="721BD729" w:rsidR="00255F57" w:rsidRPr="00BE36E6" w:rsidRDefault="00255F57" w:rsidP="00255F57">
            <w:pPr>
              <w:pStyle w:val="Tekstpodstawowy3"/>
              <w:spacing w:after="0"/>
              <w:jc w:val="center"/>
              <w:rPr>
                <w:rFonts w:asciiTheme="minorHAnsi" w:hAnsiTheme="minorHAnsi"/>
                <w:b/>
              </w:rPr>
            </w:pPr>
            <w:r w:rsidRPr="00BE36E6">
              <w:rPr>
                <w:rFonts w:asciiTheme="minorHAnsi" w:hAnsiTheme="minorHAnsi"/>
                <w:b/>
              </w:rPr>
              <w:t>1</w:t>
            </w:r>
          </w:p>
        </w:tc>
        <w:tc>
          <w:tcPr>
            <w:tcW w:w="4319" w:type="dxa"/>
            <w:tcBorders>
              <w:bottom w:val="single" w:sz="4" w:space="0" w:color="auto"/>
            </w:tcBorders>
            <w:vAlign w:val="center"/>
          </w:tcPr>
          <w:p w14:paraId="0CA53CA1" w14:textId="77777777" w:rsidR="00255F57" w:rsidRPr="00255F57" w:rsidRDefault="00255F57" w:rsidP="00255F57">
            <w:pPr>
              <w:pStyle w:val="Tekstpodstawowywcity2"/>
              <w:spacing w:after="0" w:line="240" w:lineRule="auto"/>
              <w:ind w:left="0"/>
              <w:rPr>
                <w:rFonts w:asciiTheme="majorHAnsi" w:hAnsiTheme="majorHAnsi"/>
                <w:b/>
                <w:sz w:val="18"/>
                <w:szCs w:val="18"/>
              </w:rPr>
            </w:pPr>
            <w:r w:rsidRPr="00255F57">
              <w:rPr>
                <w:rFonts w:asciiTheme="majorHAnsi" w:hAnsiTheme="majorHAnsi"/>
                <w:b/>
                <w:sz w:val="18"/>
                <w:szCs w:val="18"/>
              </w:rPr>
              <w:t xml:space="preserve">Ampułkowy wskaźnik biologiczny o szybkim odczycie do pary wodnej </w:t>
            </w:r>
          </w:p>
          <w:p w14:paraId="19B0BD35" w14:textId="12D284C4" w:rsidR="00255F57" w:rsidRPr="00255F57" w:rsidRDefault="00255F57" w:rsidP="00255F57">
            <w:pPr>
              <w:pStyle w:val="Tekstpodstawowywcity2"/>
              <w:spacing w:after="0" w:line="240" w:lineRule="auto"/>
              <w:ind w:left="0"/>
              <w:rPr>
                <w:rFonts w:asciiTheme="minorHAnsi" w:hAnsiTheme="minorHAnsi" w:cs="Tahoma"/>
                <w:sz w:val="18"/>
                <w:szCs w:val="18"/>
              </w:rPr>
            </w:pPr>
            <w:r w:rsidRPr="00255F57">
              <w:rPr>
                <w:rFonts w:asciiTheme="majorHAnsi" w:hAnsiTheme="majorHAnsi"/>
                <w:sz w:val="18"/>
                <w:szCs w:val="18"/>
              </w:rPr>
              <w:t>Ostateczny odczyt wyniku negatywnego (zabicie bakterii po 4 godzinach  inkubacji). Wykrycie przez odczyt automatyczny fluorescencji w autoczytniku. Kompatybilny z używanym w szpitalu  autoczytnikiem firmy Bionova. Wskaźnik zgodny normą EN ISO 11138.</w:t>
            </w:r>
          </w:p>
        </w:tc>
        <w:tc>
          <w:tcPr>
            <w:tcW w:w="1068" w:type="dxa"/>
            <w:tcBorders>
              <w:bottom w:val="single" w:sz="4" w:space="0" w:color="auto"/>
            </w:tcBorders>
            <w:shd w:val="clear" w:color="auto" w:fill="F2F2F2"/>
            <w:vAlign w:val="center"/>
          </w:tcPr>
          <w:p w14:paraId="2C5756DF" w14:textId="5CA4923A" w:rsidR="00255F57" w:rsidRPr="00BE36E6" w:rsidRDefault="00255F57" w:rsidP="00255F57">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 ampułki</w:t>
            </w:r>
          </w:p>
        </w:tc>
        <w:tc>
          <w:tcPr>
            <w:tcW w:w="1134" w:type="dxa"/>
            <w:tcBorders>
              <w:bottom w:val="single" w:sz="4" w:space="0" w:color="auto"/>
            </w:tcBorders>
          </w:tcPr>
          <w:p w14:paraId="2DAC80D4" w14:textId="77777777" w:rsidR="00255F57" w:rsidRPr="00BE36E6" w:rsidRDefault="00255F57" w:rsidP="00255F57">
            <w:pPr>
              <w:pStyle w:val="Tekstpodstawowy3"/>
              <w:spacing w:after="0"/>
              <w:jc w:val="center"/>
              <w:rPr>
                <w:rFonts w:asciiTheme="minorHAnsi" w:hAnsiTheme="minorHAnsi"/>
              </w:rPr>
            </w:pPr>
          </w:p>
        </w:tc>
        <w:tc>
          <w:tcPr>
            <w:tcW w:w="1275" w:type="dxa"/>
            <w:tcBorders>
              <w:bottom w:val="single" w:sz="4" w:space="0" w:color="auto"/>
            </w:tcBorders>
          </w:tcPr>
          <w:p w14:paraId="4DD71A5C" w14:textId="77777777" w:rsidR="00255F57" w:rsidRPr="00BE36E6" w:rsidRDefault="00255F57" w:rsidP="00255F57">
            <w:pPr>
              <w:pStyle w:val="Tekstpodstawowy3"/>
              <w:spacing w:after="0"/>
              <w:jc w:val="center"/>
              <w:rPr>
                <w:rFonts w:asciiTheme="minorHAnsi" w:hAnsiTheme="minorHAnsi"/>
              </w:rPr>
            </w:pPr>
          </w:p>
        </w:tc>
        <w:tc>
          <w:tcPr>
            <w:tcW w:w="1276" w:type="dxa"/>
            <w:tcBorders>
              <w:bottom w:val="single" w:sz="4" w:space="0" w:color="auto"/>
            </w:tcBorders>
          </w:tcPr>
          <w:p w14:paraId="501B10FD" w14:textId="77777777" w:rsidR="00255F57" w:rsidRPr="00BE36E6" w:rsidRDefault="00255F57" w:rsidP="00255F57">
            <w:pPr>
              <w:pStyle w:val="Tekstpodstawowy3"/>
              <w:spacing w:after="0"/>
              <w:jc w:val="center"/>
              <w:rPr>
                <w:rFonts w:asciiTheme="minorHAnsi" w:hAnsiTheme="minorHAnsi"/>
              </w:rPr>
            </w:pPr>
          </w:p>
        </w:tc>
        <w:tc>
          <w:tcPr>
            <w:tcW w:w="1276" w:type="dxa"/>
            <w:tcBorders>
              <w:bottom w:val="single" w:sz="4" w:space="0" w:color="auto"/>
            </w:tcBorders>
          </w:tcPr>
          <w:p w14:paraId="3967A462" w14:textId="77777777" w:rsidR="00255F57" w:rsidRPr="00BE36E6" w:rsidRDefault="00255F57" w:rsidP="00255F57">
            <w:pPr>
              <w:pStyle w:val="Tekstpodstawowy3"/>
              <w:spacing w:after="0"/>
              <w:jc w:val="center"/>
              <w:rPr>
                <w:rFonts w:asciiTheme="minorHAnsi" w:hAnsiTheme="minorHAnsi"/>
              </w:rPr>
            </w:pPr>
          </w:p>
        </w:tc>
        <w:tc>
          <w:tcPr>
            <w:tcW w:w="1134" w:type="dxa"/>
            <w:tcBorders>
              <w:bottom w:val="single" w:sz="4" w:space="0" w:color="auto"/>
            </w:tcBorders>
          </w:tcPr>
          <w:p w14:paraId="581A21B6" w14:textId="77777777" w:rsidR="00255F57" w:rsidRPr="00BE36E6" w:rsidRDefault="00255F57" w:rsidP="00255F57">
            <w:pPr>
              <w:pStyle w:val="Tekstpodstawowy3"/>
              <w:spacing w:after="0"/>
              <w:jc w:val="center"/>
              <w:rPr>
                <w:rFonts w:asciiTheme="minorHAnsi" w:hAnsiTheme="minorHAnsi"/>
              </w:rPr>
            </w:pPr>
          </w:p>
        </w:tc>
        <w:tc>
          <w:tcPr>
            <w:tcW w:w="1134" w:type="dxa"/>
            <w:tcBorders>
              <w:bottom w:val="single" w:sz="4" w:space="0" w:color="auto"/>
            </w:tcBorders>
          </w:tcPr>
          <w:p w14:paraId="7D8C2259" w14:textId="77777777" w:rsidR="00255F57" w:rsidRPr="00BE36E6" w:rsidRDefault="00255F57" w:rsidP="00255F57">
            <w:pPr>
              <w:pStyle w:val="Tekstpodstawowy3"/>
              <w:spacing w:after="0"/>
              <w:jc w:val="center"/>
              <w:rPr>
                <w:rFonts w:asciiTheme="minorHAnsi" w:hAnsiTheme="minorHAnsi"/>
              </w:rPr>
            </w:pPr>
          </w:p>
        </w:tc>
        <w:tc>
          <w:tcPr>
            <w:tcW w:w="1418" w:type="dxa"/>
            <w:tcBorders>
              <w:bottom w:val="single" w:sz="4" w:space="0" w:color="auto"/>
            </w:tcBorders>
          </w:tcPr>
          <w:p w14:paraId="040EAB5E" w14:textId="77777777" w:rsidR="00255F57" w:rsidRPr="00BE36E6" w:rsidRDefault="00255F57" w:rsidP="00255F57">
            <w:pPr>
              <w:pStyle w:val="Tekstpodstawowy3"/>
              <w:spacing w:after="0"/>
              <w:jc w:val="center"/>
              <w:rPr>
                <w:rFonts w:asciiTheme="minorHAnsi" w:hAnsiTheme="minorHAnsi"/>
              </w:rPr>
            </w:pPr>
          </w:p>
        </w:tc>
      </w:tr>
      <w:tr w:rsidR="00255F57" w:rsidRPr="00BE36E6" w14:paraId="272E8DFF" w14:textId="77777777" w:rsidTr="004F541C">
        <w:trPr>
          <w:trHeight w:val="1691"/>
        </w:trPr>
        <w:tc>
          <w:tcPr>
            <w:tcW w:w="567" w:type="dxa"/>
            <w:vAlign w:val="center"/>
          </w:tcPr>
          <w:p w14:paraId="6FA08FFF" w14:textId="50580AD6" w:rsidR="00255F57" w:rsidRPr="00BE36E6" w:rsidRDefault="00255F57" w:rsidP="00255F57">
            <w:pPr>
              <w:pStyle w:val="Tekstpodstawowy3"/>
              <w:spacing w:after="0"/>
              <w:jc w:val="center"/>
              <w:rPr>
                <w:rFonts w:asciiTheme="minorHAnsi" w:hAnsiTheme="minorHAnsi"/>
                <w:b/>
              </w:rPr>
            </w:pPr>
            <w:r>
              <w:rPr>
                <w:rFonts w:asciiTheme="minorHAnsi" w:hAnsiTheme="minorHAnsi"/>
                <w:b/>
              </w:rPr>
              <w:t>2</w:t>
            </w:r>
          </w:p>
        </w:tc>
        <w:tc>
          <w:tcPr>
            <w:tcW w:w="4319" w:type="dxa"/>
            <w:tcBorders>
              <w:bottom w:val="single" w:sz="4" w:space="0" w:color="auto"/>
            </w:tcBorders>
            <w:vAlign w:val="center"/>
          </w:tcPr>
          <w:p w14:paraId="1DA79B82" w14:textId="77777777" w:rsidR="00255F57" w:rsidRPr="00255F57" w:rsidRDefault="00255F57" w:rsidP="00255F57">
            <w:pPr>
              <w:pStyle w:val="Tekstpodstawowywcity2"/>
              <w:spacing w:after="0" w:line="240" w:lineRule="auto"/>
              <w:ind w:left="0"/>
              <w:rPr>
                <w:rFonts w:asciiTheme="majorHAnsi" w:hAnsiTheme="majorHAnsi"/>
                <w:b/>
                <w:sz w:val="18"/>
                <w:szCs w:val="18"/>
              </w:rPr>
            </w:pPr>
            <w:r w:rsidRPr="00255F57">
              <w:rPr>
                <w:rFonts w:asciiTheme="majorHAnsi" w:hAnsiTheme="majorHAnsi"/>
                <w:b/>
                <w:sz w:val="18"/>
                <w:szCs w:val="18"/>
              </w:rPr>
              <w:t xml:space="preserve">Ampułkowy  wskaźnik biologiczny o szybkim odczycie (0,5h) do sterylizacji plazmowej </w:t>
            </w:r>
          </w:p>
          <w:p w14:paraId="7DC115C1" w14:textId="1E2F3A8F" w:rsidR="00255F57" w:rsidRPr="00255F57" w:rsidRDefault="00255F57" w:rsidP="00255F57">
            <w:pPr>
              <w:pStyle w:val="Tekstpodstawowywcity2"/>
              <w:spacing w:after="0" w:line="240" w:lineRule="auto"/>
              <w:ind w:left="0"/>
              <w:rPr>
                <w:rFonts w:asciiTheme="minorHAnsi" w:hAnsiTheme="minorHAnsi" w:cs="Tahoma"/>
                <w:sz w:val="18"/>
                <w:szCs w:val="18"/>
              </w:rPr>
            </w:pPr>
            <w:r w:rsidRPr="00255F57">
              <w:rPr>
                <w:rFonts w:asciiTheme="majorHAnsi" w:hAnsiTheme="majorHAnsi"/>
                <w:sz w:val="18"/>
                <w:szCs w:val="18"/>
              </w:rPr>
              <w:t>kompatybilny z posiadanym przez szpital autoczytnikiem Bionova. Ostateczny odczyt wyniku  negatywnego/ zabicie bakterii po 30 min. inkubacji w temperaturze ±  60°C .Wskaźnik procesu umieszony na nierwącej się naklejce. Wskaźnik zgodny normą EN ISO 11138.</w:t>
            </w:r>
          </w:p>
        </w:tc>
        <w:tc>
          <w:tcPr>
            <w:tcW w:w="1068" w:type="dxa"/>
            <w:tcBorders>
              <w:bottom w:val="single" w:sz="4" w:space="0" w:color="auto"/>
            </w:tcBorders>
            <w:shd w:val="clear" w:color="auto" w:fill="F2F2F2"/>
            <w:vAlign w:val="center"/>
          </w:tcPr>
          <w:p w14:paraId="736C9182" w14:textId="4FC75D15" w:rsidR="00255F57" w:rsidRPr="00BE36E6" w:rsidRDefault="00255F57" w:rsidP="00255F57">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 ampułki</w:t>
            </w:r>
          </w:p>
        </w:tc>
        <w:tc>
          <w:tcPr>
            <w:tcW w:w="1134" w:type="dxa"/>
            <w:tcBorders>
              <w:bottom w:val="single" w:sz="4" w:space="0" w:color="auto"/>
            </w:tcBorders>
          </w:tcPr>
          <w:p w14:paraId="271726EF" w14:textId="77777777" w:rsidR="00255F57" w:rsidRPr="00BE36E6" w:rsidRDefault="00255F57" w:rsidP="00255F57">
            <w:pPr>
              <w:pStyle w:val="Tekstpodstawowy3"/>
              <w:spacing w:after="0"/>
              <w:jc w:val="center"/>
              <w:rPr>
                <w:rFonts w:asciiTheme="minorHAnsi" w:hAnsiTheme="minorHAnsi"/>
              </w:rPr>
            </w:pPr>
          </w:p>
        </w:tc>
        <w:tc>
          <w:tcPr>
            <w:tcW w:w="1275" w:type="dxa"/>
            <w:tcBorders>
              <w:bottom w:val="single" w:sz="4" w:space="0" w:color="auto"/>
            </w:tcBorders>
          </w:tcPr>
          <w:p w14:paraId="3E3D584B" w14:textId="77777777" w:rsidR="00255F57" w:rsidRPr="00BE36E6" w:rsidRDefault="00255F57" w:rsidP="00255F57">
            <w:pPr>
              <w:pStyle w:val="Tekstpodstawowy3"/>
              <w:spacing w:after="0"/>
              <w:jc w:val="center"/>
              <w:rPr>
                <w:rFonts w:asciiTheme="minorHAnsi" w:hAnsiTheme="minorHAnsi"/>
              </w:rPr>
            </w:pPr>
          </w:p>
        </w:tc>
        <w:tc>
          <w:tcPr>
            <w:tcW w:w="1276" w:type="dxa"/>
            <w:tcBorders>
              <w:bottom w:val="single" w:sz="4" w:space="0" w:color="auto"/>
            </w:tcBorders>
          </w:tcPr>
          <w:p w14:paraId="52711B4C" w14:textId="77777777" w:rsidR="00255F57" w:rsidRPr="00BE36E6" w:rsidRDefault="00255F57" w:rsidP="00255F57">
            <w:pPr>
              <w:pStyle w:val="Tekstpodstawowy3"/>
              <w:spacing w:after="0"/>
              <w:jc w:val="center"/>
              <w:rPr>
                <w:rFonts w:asciiTheme="minorHAnsi" w:hAnsiTheme="minorHAnsi"/>
              </w:rPr>
            </w:pPr>
          </w:p>
        </w:tc>
        <w:tc>
          <w:tcPr>
            <w:tcW w:w="1276" w:type="dxa"/>
            <w:tcBorders>
              <w:bottom w:val="single" w:sz="4" w:space="0" w:color="auto"/>
            </w:tcBorders>
          </w:tcPr>
          <w:p w14:paraId="58311B95" w14:textId="77777777" w:rsidR="00255F57" w:rsidRPr="00BE36E6" w:rsidRDefault="00255F57" w:rsidP="00255F57">
            <w:pPr>
              <w:pStyle w:val="Tekstpodstawowy3"/>
              <w:spacing w:after="0"/>
              <w:jc w:val="center"/>
              <w:rPr>
                <w:rFonts w:asciiTheme="minorHAnsi" w:hAnsiTheme="minorHAnsi"/>
              </w:rPr>
            </w:pPr>
          </w:p>
        </w:tc>
        <w:tc>
          <w:tcPr>
            <w:tcW w:w="1134" w:type="dxa"/>
            <w:tcBorders>
              <w:bottom w:val="single" w:sz="4" w:space="0" w:color="auto"/>
            </w:tcBorders>
          </w:tcPr>
          <w:p w14:paraId="6EFC0F53" w14:textId="77777777" w:rsidR="00255F57" w:rsidRPr="00BE36E6" w:rsidRDefault="00255F57" w:rsidP="00255F57">
            <w:pPr>
              <w:pStyle w:val="Tekstpodstawowy3"/>
              <w:spacing w:after="0"/>
              <w:jc w:val="center"/>
              <w:rPr>
                <w:rFonts w:asciiTheme="minorHAnsi" w:hAnsiTheme="minorHAnsi"/>
              </w:rPr>
            </w:pPr>
          </w:p>
        </w:tc>
        <w:tc>
          <w:tcPr>
            <w:tcW w:w="1134" w:type="dxa"/>
            <w:tcBorders>
              <w:bottom w:val="single" w:sz="4" w:space="0" w:color="auto"/>
            </w:tcBorders>
          </w:tcPr>
          <w:p w14:paraId="56E4C814" w14:textId="77777777" w:rsidR="00255F57" w:rsidRPr="00BE36E6" w:rsidRDefault="00255F57" w:rsidP="00255F57">
            <w:pPr>
              <w:pStyle w:val="Tekstpodstawowy3"/>
              <w:spacing w:after="0"/>
              <w:jc w:val="center"/>
              <w:rPr>
                <w:rFonts w:asciiTheme="minorHAnsi" w:hAnsiTheme="minorHAnsi"/>
              </w:rPr>
            </w:pPr>
          </w:p>
        </w:tc>
        <w:tc>
          <w:tcPr>
            <w:tcW w:w="1418" w:type="dxa"/>
            <w:tcBorders>
              <w:bottom w:val="single" w:sz="4" w:space="0" w:color="auto"/>
            </w:tcBorders>
          </w:tcPr>
          <w:p w14:paraId="21DC9AE2" w14:textId="77777777" w:rsidR="00255F57" w:rsidRPr="00BE36E6" w:rsidRDefault="00255F57" w:rsidP="00255F57">
            <w:pPr>
              <w:pStyle w:val="Tekstpodstawowy3"/>
              <w:spacing w:after="0"/>
              <w:jc w:val="center"/>
              <w:rPr>
                <w:rFonts w:asciiTheme="minorHAnsi" w:hAnsiTheme="minorHAnsi"/>
              </w:rPr>
            </w:pPr>
          </w:p>
        </w:tc>
      </w:tr>
      <w:tr w:rsidR="00437284" w:rsidRPr="00BE36E6" w14:paraId="1D2A1DB9" w14:textId="77777777" w:rsidTr="00566423">
        <w:trPr>
          <w:trHeight w:val="531"/>
        </w:trPr>
        <w:tc>
          <w:tcPr>
            <w:tcW w:w="14601" w:type="dxa"/>
            <w:gridSpan w:val="10"/>
            <w:shd w:val="clear" w:color="auto" w:fill="F2F2F2"/>
            <w:vAlign w:val="center"/>
          </w:tcPr>
          <w:p w14:paraId="0F35C743" w14:textId="10A023FF" w:rsidR="00437284" w:rsidRPr="00BE36E6" w:rsidRDefault="00437284" w:rsidP="00437284">
            <w:pPr>
              <w:pStyle w:val="Tekstpodstawowy3"/>
              <w:spacing w:after="0"/>
              <w:rPr>
                <w:rFonts w:asciiTheme="minorHAnsi" w:hAnsiTheme="minorHAnsi"/>
              </w:rPr>
            </w:pPr>
            <w:r>
              <w:rPr>
                <w:rFonts w:asciiTheme="minorHAnsi" w:hAnsiTheme="minorHAnsi" w:cs="Tahoma"/>
                <w:b/>
              </w:rPr>
              <w:t xml:space="preserve"> </w:t>
            </w:r>
            <w:r w:rsidRPr="00BE36E6">
              <w:rPr>
                <w:rFonts w:asciiTheme="minorHAnsi" w:hAnsiTheme="minorHAnsi" w:cs="Tahoma"/>
                <w:b/>
              </w:rPr>
              <w:t>PAKIET NR 6</w:t>
            </w:r>
            <w:r w:rsidR="003A2D4B">
              <w:rPr>
                <w:rFonts w:asciiTheme="minorHAnsi" w:hAnsiTheme="minorHAnsi" w:cs="Tahoma"/>
                <w:b/>
              </w:rPr>
              <w:t xml:space="preserve"> – Testy zgrzewu</w:t>
            </w:r>
          </w:p>
        </w:tc>
      </w:tr>
      <w:tr w:rsidR="004F541C" w:rsidRPr="00BE36E6" w14:paraId="6DD83364" w14:textId="77777777" w:rsidTr="0060018C">
        <w:trPr>
          <w:trHeight w:val="708"/>
        </w:trPr>
        <w:tc>
          <w:tcPr>
            <w:tcW w:w="567" w:type="dxa"/>
            <w:vAlign w:val="center"/>
          </w:tcPr>
          <w:p w14:paraId="73C30783" w14:textId="77777777" w:rsidR="004F541C" w:rsidRPr="00BE36E6" w:rsidRDefault="004F541C" w:rsidP="004F541C">
            <w:pPr>
              <w:pStyle w:val="Tekstpodstawowy3"/>
              <w:spacing w:after="0"/>
              <w:jc w:val="center"/>
              <w:rPr>
                <w:rFonts w:asciiTheme="minorHAnsi" w:hAnsiTheme="minorHAnsi"/>
                <w:b/>
              </w:rPr>
            </w:pPr>
            <w:r w:rsidRPr="00BE36E6">
              <w:rPr>
                <w:rFonts w:asciiTheme="minorHAnsi" w:hAnsiTheme="minorHAnsi"/>
                <w:b/>
              </w:rPr>
              <w:lastRenderedPageBreak/>
              <w:t>1</w:t>
            </w:r>
          </w:p>
        </w:tc>
        <w:tc>
          <w:tcPr>
            <w:tcW w:w="4319" w:type="dxa"/>
            <w:vAlign w:val="center"/>
          </w:tcPr>
          <w:p w14:paraId="5170D4D1" w14:textId="77777777" w:rsidR="004F541C" w:rsidRPr="004F541C" w:rsidRDefault="004F541C" w:rsidP="004F541C">
            <w:pPr>
              <w:rPr>
                <w:rFonts w:asciiTheme="majorHAnsi" w:hAnsiTheme="majorHAnsi"/>
                <w:b/>
                <w:sz w:val="18"/>
                <w:szCs w:val="18"/>
              </w:rPr>
            </w:pPr>
            <w:r w:rsidRPr="004F541C">
              <w:rPr>
                <w:rFonts w:asciiTheme="majorHAnsi" w:hAnsiTheme="majorHAnsi"/>
                <w:b/>
                <w:sz w:val="18"/>
                <w:szCs w:val="18"/>
              </w:rPr>
              <w:t>Testy zgrzewu do wizualnej kontroli poprawności działania zgrzewarek rotacyjnych rolkowych do                                                                                                           rękawów papierowo-foliowych</w:t>
            </w:r>
          </w:p>
          <w:p w14:paraId="70A130A9" w14:textId="77777777" w:rsidR="004F541C" w:rsidRPr="004F541C" w:rsidRDefault="004F541C" w:rsidP="004F541C">
            <w:pPr>
              <w:rPr>
                <w:rFonts w:asciiTheme="majorHAnsi" w:hAnsiTheme="majorHAnsi"/>
                <w:sz w:val="18"/>
                <w:szCs w:val="18"/>
              </w:rPr>
            </w:pPr>
            <w:r w:rsidRPr="004F541C">
              <w:rPr>
                <w:rFonts w:asciiTheme="majorHAnsi" w:hAnsiTheme="majorHAnsi"/>
                <w:sz w:val="18"/>
                <w:szCs w:val="18"/>
              </w:rPr>
              <w:t>Test kontroli prawidłowej pracy zgrzewarki rolkowej oraz jakości zgrzewu posiadający substancję testową w kolorze czarnym, wymagający zastosowania dodatkowego rękawa papierowo-foliowego lub torebki papierowo-foliowej, posiadający system dokumentacji.</w:t>
            </w:r>
          </w:p>
          <w:p w14:paraId="67511840" w14:textId="6F20EFBD" w:rsidR="004F541C" w:rsidRPr="004F541C" w:rsidRDefault="004F541C" w:rsidP="004F541C">
            <w:pPr>
              <w:pStyle w:val="Tekstpodstawowywcity2"/>
              <w:spacing w:after="0" w:line="240" w:lineRule="auto"/>
              <w:ind w:left="0"/>
              <w:rPr>
                <w:rFonts w:asciiTheme="majorHAnsi" w:hAnsiTheme="majorHAnsi" w:cs="Tahoma"/>
                <w:sz w:val="18"/>
                <w:szCs w:val="18"/>
              </w:rPr>
            </w:pPr>
          </w:p>
        </w:tc>
        <w:tc>
          <w:tcPr>
            <w:tcW w:w="1068" w:type="dxa"/>
            <w:shd w:val="clear" w:color="auto" w:fill="F2F2F2"/>
            <w:vAlign w:val="center"/>
          </w:tcPr>
          <w:p w14:paraId="2D1C5047" w14:textId="5FCCBBD0" w:rsidR="004F541C" w:rsidRPr="00BE36E6" w:rsidRDefault="004F541C" w:rsidP="004F541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 szt.</w:t>
            </w:r>
          </w:p>
        </w:tc>
        <w:tc>
          <w:tcPr>
            <w:tcW w:w="1134" w:type="dxa"/>
          </w:tcPr>
          <w:p w14:paraId="32408564" w14:textId="77777777" w:rsidR="004F541C" w:rsidRPr="00BE36E6" w:rsidRDefault="004F541C" w:rsidP="004F541C">
            <w:pPr>
              <w:pStyle w:val="Tekstpodstawowy3"/>
              <w:spacing w:after="0"/>
              <w:jc w:val="center"/>
              <w:rPr>
                <w:rFonts w:asciiTheme="minorHAnsi" w:hAnsiTheme="minorHAnsi"/>
              </w:rPr>
            </w:pPr>
          </w:p>
        </w:tc>
        <w:tc>
          <w:tcPr>
            <w:tcW w:w="1275" w:type="dxa"/>
          </w:tcPr>
          <w:p w14:paraId="704A1FBF" w14:textId="77777777" w:rsidR="004F541C" w:rsidRPr="00BE36E6" w:rsidRDefault="004F541C" w:rsidP="004F541C">
            <w:pPr>
              <w:pStyle w:val="Tekstpodstawowy3"/>
              <w:spacing w:after="0"/>
              <w:jc w:val="center"/>
              <w:rPr>
                <w:rFonts w:asciiTheme="minorHAnsi" w:hAnsiTheme="minorHAnsi"/>
              </w:rPr>
            </w:pPr>
          </w:p>
        </w:tc>
        <w:tc>
          <w:tcPr>
            <w:tcW w:w="1276" w:type="dxa"/>
          </w:tcPr>
          <w:p w14:paraId="66B0DB18" w14:textId="77777777" w:rsidR="004F541C" w:rsidRPr="00BE36E6" w:rsidRDefault="004F541C" w:rsidP="004F541C">
            <w:pPr>
              <w:pStyle w:val="Tekstpodstawowy3"/>
              <w:spacing w:after="0"/>
              <w:jc w:val="center"/>
              <w:rPr>
                <w:rFonts w:asciiTheme="minorHAnsi" w:hAnsiTheme="minorHAnsi"/>
              </w:rPr>
            </w:pPr>
          </w:p>
        </w:tc>
        <w:tc>
          <w:tcPr>
            <w:tcW w:w="1276" w:type="dxa"/>
          </w:tcPr>
          <w:p w14:paraId="29D21989" w14:textId="77777777" w:rsidR="004F541C" w:rsidRPr="00BE36E6" w:rsidRDefault="004F541C" w:rsidP="004F541C">
            <w:pPr>
              <w:pStyle w:val="Tekstpodstawowy3"/>
              <w:spacing w:after="0"/>
              <w:jc w:val="center"/>
              <w:rPr>
                <w:rFonts w:asciiTheme="minorHAnsi" w:hAnsiTheme="minorHAnsi"/>
              </w:rPr>
            </w:pPr>
          </w:p>
        </w:tc>
        <w:tc>
          <w:tcPr>
            <w:tcW w:w="1134" w:type="dxa"/>
          </w:tcPr>
          <w:p w14:paraId="7C2A733C" w14:textId="77777777" w:rsidR="004F541C" w:rsidRPr="00BE36E6" w:rsidRDefault="004F541C" w:rsidP="004F541C">
            <w:pPr>
              <w:pStyle w:val="Tekstpodstawowy3"/>
              <w:spacing w:after="0"/>
              <w:jc w:val="center"/>
              <w:rPr>
                <w:rFonts w:asciiTheme="minorHAnsi" w:hAnsiTheme="minorHAnsi"/>
              </w:rPr>
            </w:pPr>
          </w:p>
        </w:tc>
        <w:tc>
          <w:tcPr>
            <w:tcW w:w="1134" w:type="dxa"/>
          </w:tcPr>
          <w:p w14:paraId="0393B62B" w14:textId="77777777" w:rsidR="004F541C" w:rsidRPr="00BE36E6" w:rsidRDefault="004F541C" w:rsidP="004F541C">
            <w:pPr>
              <w:pStyle w:val="Tekstpodstawowy3"/>
              <w:spacing w:after="0"/>
              <w:jc w:val="center"/>
              <w:rPr>
                <w:rFonts w:asciiTheme="minorHAnsi" w:hAnsiTheme="minorHAnsi"/>
              </w:rPr>
            </w:pPr>
          </w:p>
        </w:tc>
        <w:tc>
          <w:tcPr>
            <w:tcW w:w="1418" w:type="dxa"/>
          </w:tcPr>
          <w:p w14:paraId="54C03C5A" w14:textId="77777777" w:rsidR="004F541C" w:rsidRPr="00BE36E6" w:rsidRDefault="004F541C" w:rsidP="004F541C">
            <w:pPr>
              <w:pStyle w:val="Tekstpodstawowy3"/>
              <w:spacing w:after="0"/>
              <w:jc w:val="center"/>
              <w:rPr>
                <w:rFonts w:asciiTheme="minorHAnsi" w:hAnsiTheme="minorHAnsi"/>
              </w:rPr>
            </w:pPr>
          </w:p>
        </w:tc>
      </w:tr>
      <w:tr w:rsidR="004F541C" w:rsidRPr="00BE36E6" w14:paraId="6580FEB8" w14:textId="77777777" w:rsidTr="004F541C">
        <w:trPr>
          <w:trHeight w:val="726"/>
        </w:trPr>
        <w:tc>
          <w:tcPr>
            <w:tcW w:w="567" w:type="dxa"/>
            <w:vAlign w:val="center"/>
          </w:tcPr>
          <w:p w14:paraId="1A387658" w14:textId="77777777" w:rsidR="004F541C" w:rsidRPr="00BE36E6" w:rsidRDefault="004F541C" w:rsidP="004F541C">
            <w:pPr>
              <w:pStyle w:val="Tekstpodstawowy3"/>
              <w:spacing w:after="0"/>
              <w:jc w:val="center"/>
              <w:rPr>
                <w:rFonts w:asciiTheme="minorHAnsi" w:hAnsiTheme="minorHAnsi"/>
                <w:b/>
              </w:rPr>
            </w:pPr>
            <w:r w:rsidRPr="00BE36E6">
              <w:rPr>
                <w:rFonts w:asciiTheme="minorHAnsi" w:hAnsiTheme="minorHAnsi"/>
                <w:b/>
              </w:rPr>
              <w:t>2</w:t>
            </w:r>
          </w:p>
        </w:tc>
        <w:tc>
          <w:tcPr>
            <w:tcW w:w="4319" w:type="dxa"/>
            <w:vAlign w:val="center"/>
          </w:tcPr>
          <w:p w14:paraId="7DE1220B" w14:textId="04AC4481" w:rsidR="004F541C" w:rsidRDefault="004F541C" w:rsidP="004F541C">
            <w:pPr>
              <w:rPr>
                <w:rFonts w:asciiTheme="majorHAnsi" w:hAnsiTheme="majorHAnsi"/>
                <w:b/>
                <w:sz w:val="18"/>
                <w:szCs w:val="18"/>
              </w:rPr>
            </w:pPr>
            <w:r w:rsidRPr="004F541C">
              <w:rPr>
                <w:rFonts w:asciiTheme="majorHAnsi" w:hAnsiTheme="majorHAnsi"/>
                <w:b/>
                <w:sz w:val="18"/>
                <w:szCs w:val="18"/>
              </w:rPr>
              <w:t xml:space="preserve">Testy zgrzewu do wizualnej kontroli poprawności działania zgrzewarek rotacyjnych do rękawów TYVEK </w:t>
            </w:r>
            <w:r>
              <w:rPr>
                <w:rFonts w:asciiTheme="majorHAnsi" w:hAnsiTheme="majorHAnsi"/>
                <w:b/>
                <w:sz w:val="18"/>
                <w:szCs w:val="18"/>
              </w:rPr>
              <w:t>–</w:t>
            </w:r>
            <w:r w:rsidRPr="004F541C">
              <w:rPr>
                <w:rFonts w:asciiTheme="majorHAnsi" w:hAnsiTheme="majorHAnsi"/>
                <w:b/>
                <w:sz w:val="18"/>
                <w:szCs w:val="18"/>
              </w:rPr>
              <w:t xml:space="preserve"> folia</w:t>
            </w:r>
          </w:p>
          <w:p w14:paraId="1F614DC5" w14:textId="78BAF32D" w:rsidR="004F541C" w:rsidRPr="004F541C" w:rsidRDefault="004F541C" w:rsidP="004F541C">
            <w:pPr>
              <w:rPr>
                <w:rFonts w:asciiTheme="majorHAnsi" w:hAnsiTheme="majorHAnsi" w:cs="Tahoma"/>
                <w:sz w:val="18"/>
                <w:szCs w:val="18"/>
              </w:rPr>
            </w:pPr>
          </w:p>
        </w:tc>
        <w:tc>
          <w:tcPr>
            <w:tcW w:w="1068" w:type="dxa"/>
            <w:shd w:val="clear" w:color="auto" w:fill="F2F2F2"/>
            <w:vAlign w:val="center"/>
          </w:tcPr>
          <w:p w14:paraId="72F15376" w14:textId="4C4E082F" w:rsidR="004F541C" w:rsidRPr="00BE36E6" w:rsidRDefault="004F541C" w:rsidP="004F541C">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 szt.</w:t>
            </w:r>
          </w:p>
        </w:tc>
        <w:tc>
          <w:tcPr>
            <w:tcW w:w="1134" w:type="dxa"/>
          </w:tcPr>
          <w:p w14:paraId="2F1BBEFE" w14:textId="77777777" w:rsidR="004F541C" w:rsidRPr="00BE36E6" w:rsidRDefault="004F541C" w:rsidP="004F541C">
            <w:pPr>
              <w:pStyle w:val="Tekstpodstawowy3"/>
              <w:spacing w:after="0"/>
              <w:jc w:val="center"/>
              <w:rPr>
                <w:rFonts w:asciiTheme="minorHAnsi" w:hAnsiTheme="minorHAnsi"/>
              </w:rPr>
            </w:pPr>
          </w:p>
        </w:tc>
        <w:tc>
          <w:tcPr>
            <w:tcW w:w="1275" w:type="dxa"/>
          </w:tcPr>
          <w:p w14:paraId="567AEA1E" w14:textId="77777777" w:rsidR="004F541C" w:rsidRPr="00BE36E6" w:rsidRDefault="004F541C" w:rsidP="004F541C">
            <w:pPr>
              <w:pStyle w:val="Tekstpodstawowy3"/>
              <w:spacing w:after="0"/>
              <w:jc w:val="center"/>
              <w:rPr>
                <w:rFonts w:asciiTheme="minorHAnsi" w:hAnsiTheme="minorHAnsi"/>
              </w:rPr>
            </w:pPr>
          </w:p>
        </w:tc>
        <w:tc>
          <w:tcPr>
            <w:tcW w:w="1276" w:type="dxa"/>
          </w:tcPr>
          <w:p w14:paraId="4474648E" w14:textId="77777777" w:rsidR="004F541C" w:rsidRPr="00BE36E6" w:rsidRDefault="004F541C" w:rsidP="004F541C">
            <w:pPr>
              <w:pStyle w:val="Tekstpodstawowy3"/>
              <w:spacing w:after="0"/>
              <w:jc w:val="center"/>
              <w:rPr>
                <w:rFonts w:asciiTheme="minorHAnsi" w:hAnsiTheme="minorHAnsi"/>
              </w:rPr>
            </w:pPr>
          </w:p>
        </w:tc>
        <w:tc>
          <w:tcPr>
            <w:tcW w:w="1276" w:type="dxa"/>
          </w:tcPr>
          <w:p w14:paraId="40426564" w14:textId="77777777" w:rsidR="004F541C" w:rsidRPr="00BE36E6" w:rsidRDefault="004F541C" w:rsidP="004F541C">
            <w:pPr>
              <w:pStyle w:val="Tekstpodstawowy3"/>
              <w:spacing w:after="0"/>
              <w:jc w:val="center"/>
              <w:rPr>
                <w:rFonts w:asciiTheme="minorHAnsi" w:hAnsiTheme="minorHAnsi"/>
              </w:rPr>
            </w:pPr>
          </w:p>
        </w:tc>
        <w:tc>
          <w:tcPr>
            <w:tcW w:w="1134" w:type="dxa"/>
          </w:tcPr>
          <w:p w14:paraId="4E3883F2" w14:textId="77777777" w:rsidR="004F541C" w:rsidRPr="00BE36E6" w:rsidRDefault="004F541C" w:rsidP="004F541C">
            <w:pPr>
              <w:pStyle w:val="Tekstpodstawowy3"/>
              <w:spacing w:after="0"/>
              <w:jc w:val="center"/>
              <w:rPr>
                <w:rFonts w:asciiTheme="minorHAnsi" w:hAnsiTheme="minorHAnsi"/>
              </w:rPr>
            </w:pPr>
          </w:p>
        </w:tc>
        <w:tc>
          <w:tcPr>
            <w:tcW w:w="1134" w:type="dxa"/>
          </w:tcPr>
          <w:p w14:paraId="692AB3DA" w14:textId="77777777" w:rsidR="004F541C" w:rsidRPr="00BE36E6" w:rsidRDefault="004F541C" w:rsidP="004F541C">
            <w:pPr>
              <w:pStyle w:val="Tekstpodstawowy3"/>
              <w:spacing w:after="0"/>
              <w:jc w:val="center"/>
              <w:rPr>
                <w:rFonts w:asciiTheme="minorHAnsi" w:hAnsiTheme="minorHAnsi"/>
              </w:rPr>
            </w:pPr>
          </w:p>
        </w:tc>
        <w:tc>
          <w:tcPr>
            <w:tcW w:w="1418" w:type="dxa"/>
          </w:tcPr>
          <w:p w14:paraId="2642A357" w14:textId="77777777" w:rsidR="004F541C" w:rsidRPr="00BE36E6" w:rsidRDefault="004F541C" w:rsidP="004F541C">
            <w:pPr>
              <w:pStyle w:val="Tekstpodstawowy3"/>
              <w:spacing w:after="0"/>
              <w:jc w:val="center"/>
              <w:rPr>
                <w:rFonts w:asciiTheme="minorHAnsi" w:hAnsiTheme="minorHAnsi"/>
              </w:rPr>
            </w:pPr>
          </w:p>
        </w:tc>
      </w:tr>
      <w:tr w:rsidR="00437284" w:rsidRPr="00BE36E6" w14:paraId="581A2164" w14:textId="77777777" w:rsidTr="00EB7A75">
        <w:trPr>
          <w:trHeight w:val="401"/>
        </w:trPr>
        <w:tc>
          <w:tcPr>
            <w:tcW w:w="14601" w:type="dxa"/>
            <w:gridSpan w:val="10"/>
            <w:shd w:val="clear" w:color="auto" w:fill="F2F2F2"/>
            <w:vAlign w:val="center"/>
          </w:tcPr>
          <w:p w14:paraId="59562018" w14:textId="2EFAF9A0" w:rsidR="00437284" w:rsidRPr="00BE36E6" w:rsidRDefault="00566423" w:rsidP="00437284">
            <w:pPr>
              <w:pStyle w:val="Tekstpodstawowy3"/>
              <w:spacing w:after="0"/>
              <w:rPr>
                <w:rFonts w:asciiTheme="minorHAnsi" w:hAnsiTheme="minorHAnsi"/>
              </w:rPr>
            </w:pPr>
            <w:r>
              <w:rPr>
                <w:rFonts w:asciiTheme="minorHAnsi" w:hAnsiTheme="minorHAnsi" w:cs="Tahoma"/>
                <w:b/>
              </w:rPr>
              <w:t>PAKIET NR 7</w:t>
            </w:r>
            <w:r w:rsidR="003A2D4B">
              <w:rPr>
                <w:rFonts w:asciiTheme="minorHAnsi" w:hAnsiTheme="minorHAnsi" w:cs="Tahoma"/>
                <w:b/>
              </w:rPr>
              <w:t xml:space="preserve"> – Naboje do sterylizatora plazmowego Stericool Getinge</w:t>
            </w:r>
          </w:p>
        </w:tc>
      </w:tr>
      <w:tr w:rsidR="00556F5D" w:rsidRPr="00BE36E6" w14:paraId="65673130" w14:textId="77777777" w:rsidTr="0060018C">
        <w:trPr>
          <w:trHeight w:val="869"/>
        </w:trPr>
        <w:tc>
          <w:tcPr>
            <w:tcW w:w="567" w:type="dxa"/>
            <w:vAlign w:val="center"/>
          </w:tcPr>
          <w:p w14:paraId="7D7FF00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319" w:type="dxa"/>
            <w:vAlign w:val="center"/>
          </w:tcPr>
          <w:p w14:paraId="663B2F24" w14:textId="77777777" w:rsidR="004F541C" w:rsidRPr="004F541C" w:rsidRDefault="004F541C" w:rsidP="004F541C">
            <w:pPr>
              <w:rPr>
                <w:rFonts w:asciiTheme="majorHAnsi" w:hAnsiTheme="majorHAnsi"/>
                <w:sz w:val="18"/>
                <w:szCs w:val="18"/>
              </w:rPr>
            </w:pPr>
            <w:r w:rsidRPr="004F541C">
              <w:rPr>
                <w:rFonts w:asciiTheme="majorHAnsi" w:hAnsiTheme="majorHAnsi"/>
                <w:b/>
                <w:sz w:val="18"/>
                <w:szCs w:val="18"/>
              </w:rPr>
              <w:t>Naboje ST240 do sterylizatora plazmowego STERICOOL GETINGE</w:t>
            </w:r>
            <w:r w:rsidRPr="004F541C">
              <w:rPr>
                <w:rFonts w:asciiTheme="majorHAnsi" w:hAnsiTheme="majorHAnsi"/>
                <w:sz w:val="18"/>
                <w:szCs w:val="18"/>
              </w:rPr>
              <w:t xml:space="preserve"> </w:t>
            </w:r>
          </w:p>
          <w:p w14:paraId="078C6135" w14:textId="77777777" w:rsidR="004F541C" w:rsidRPr="004F541C" w:rsidRDefault="004F541C" w:rsidP="004F541C">
            <w:pPr>
              <w:rPr>
                <w:rFonts w:asciiTheme="majorHAnsi" w:hAnsiTheme="majorHAnsi"/>
                <w:sz w:val="18"/>
                <w:szCs w:val="18"/>
              </w:rPr>
            </w:pPr>
            <w:r w:rsidRPr="004F541C">
              <w:rPr>
                <w:rFonts w:asciiTheme="majorHAnsi" w:hAnsiTheme="majorHAnsi"/>
                <w:sz w:val="18"/>
                <w:szCs w:val="18"/>
              </w:rPr>
              <w:t xml:space="preserve">Okres trwałości 12 miesięcy od daty produkcji. Możliwość przeprowadzenia minimum 20 procesów na jednym naboju. </w:t>
            </w:r>
          </w:p>
          <w:p w14:paraId="7A12589D" w14:textId="018223F7" w:rsidR="00556F5D" w:rsidRPr="00BE36E6" w:rsidRDefault="00556F5D" w:rsidP="003559FF">
            <w:pPr>
              <w:pStyle w:val="Tekstpodstawowywcity2"/>
              <w:spacing w:after="0" w:line="240" w:lineRule="auto"/>
              <w:ind w:left="0"/>
              <w:rPr>
                <w:rFonts w:asciiTheme="minorHAnsi" w:hAnsiTheme="minorHAnsi" w:cs="Tahoma"/>
                <w:b/>
                <w:sz w:val="16"/>
                <w:szCs w:val="16"/>
              </w:rPr>
            </w:pPr>
          </w:p>
        </w:tc>
        <w:tc>
          <w:tcPr>
            <w:tcW w:w="1068" w:type="dxa"/>
            <w:shd w:val="clear" w:color="auto" w:fill="F2F2F2"/>
            <w:vAlign w:val="center"/>
          </w:tcPr>
          <w:p w14:paraId="2CDE7161" w14:textId="456B568E" w:rsidR="00556F5D" w:rsidRPr="00BE36E6" w:rsidRDefault="004F541C" w:rsidP="003559FF">
            <w:pPr>
              <w:jc w:val="center"/>
              <w:rPr>
                <w:rFonts w:asciiTheme="minorHAnsi" w:hAnsiTheme="minorHAnsi" w:cs="Tahoma"/>
                <w:b/>
                <w:bCs/>
                <w:sz w:val="16"/>
                <w:szCs w:val="16"/>
              </w:rPr>
            </w:pPr>
            <w:r>
              <w:rPr>
                <w:rFonts w:asciiTheme="minorHAnsi" w:hAnsiTheme="minorHAnsi" w:cs="Tahoma"/>
                <w:b/>
                <w:bCs/>
                <w:sz w:val="16"/>
                <w:szCs w:val="16"/>
              </w:rPr>
              <w:t>1 nabój</w:t>
            </w:r>
          </w:p>
        </w:tc>
        <w:tc>
          <w:tcPr>
            <w:tcW w:w="1134" w:type="dxa"/>
          </w:tcPr>
          <w:p w14:paraId="6CB050C1" w14:textId="77777777" w:rsidR="00556F5D" w:rsidRPr="00BE36E6" w:rsidRDefault="00556F5D" w:rsidP="003559FF">
            <w:pPr>
              <w:pStyle w:val="Tekstpodstawowy3"/>
              <w:spacing w:after="0"/>
              <w:jc w:val="center"/>
              <w:rPr>
                <w:rFonts w:asciiTheme="minorHAnsi" w:hAnsiTheme="minorHAnsi"/>
              </w:rPr>
            </w:pPr>
          </w:p>
        </w:tc>
        <w:tc>
          <w:tcPr>
            <w:tcW w:w="1275" w:type="dxa"/>
          </w:tcPr>
          <w:p w14:paraId="4316F6FF" w14:textId="77777777" w:rsidR="00556F5D" w:rsidRPr="00BE36E6" w:rsidRDefault="00556F5D" w:rsidP="003559FF">
            <w:pPr>
              <w:pStyle w:val="Tekstpodstawowy3"/>
              <w:spacing w:after="0"/>
              <w:jc w:val="center"/>
              <w:rPr>
                <w:rFonts w:asciiTheme="minorHAnsi" w:hAnsiTheme="minorHAnsi"/>
              </w:rPr>
            </w:pPr>
          </w:p>
        </w:tc>
        <w:tc>
          <w:tcPr>
            <w:tcW w:w="1276" w:type="dxa"/>
          </w:tcPr>
          <w:p w14:paraId="630E6A47" w14:textId="77777777" w:rsidR="00556F5D" w:rsidRPr="00BE36E6" w:rsidRDefault="00556F5D" w:rsidP="003559FF">
            <w:pPr>
              <w:pStyle w:val="Tekstpodstawowy3"/>
              <w:spacing w:after="0"/>
              <w:jc w:val="center"/>
              <w:rPr>
                <w:rFonts w:asciiTheme="minorHAnsi" w:hAnsiTheme="minorHAnsi"/>
              </w:rPr>
            </w:pPr>
          </w:p>
        </w:tc>
        <w:tc>
          <w:tcPr>
            <w:tcW w:w="1276" w:type="dxa"/>
          </w:tcPr>
          <w:p w14:paraId="3B10173C" w14:textId="77777777" w:rsidR="00556F5D" w:rsidRPr="00BE36E6" w:rsidRDefault="00556F5D" w:rsidP="003559FF">
            <w:pPr>
              <w:pStyle w:val="Tekstpodstawowy3"/>
              <w:spacing w:after="0"/>
              <w:jc w:val="center"/>
              <w:rPr>
                <w:rFonts w:asciiTheme="minorHAnsi" w:hAnsiTheme="minorHAnsi"/>
              </w:rPr>
            </w:pPr>
          </w:p>
        </w:tc>
        <w:tc>
          <w:tcPr>
            <w:tcW w:w="1134" w:type="dxa"/>
          </w:tcPr>
          <w:p w14:paraId="735832C8" w14:textId="77777777" w:rsidR="00556F5D" w:rsidRPr="00BE36E6" w:rsidRDefault="00556F5D" w:rsidP="003559FF">
            <w:pPr>
              <w:pStyle w:val="Tekstpodstawowy3"/>
              <w:spacing w:after="0"/>
              <w:jc w:val="center"/>
              <w:rPr>
                <w:rFonts w:asciiTheme="minorHAnsi" w:hAnsiTheme="minorHAnsi"/>
              </w:rPr>
            </w:pPr>
          </w:p>
        </w:tc>
        <w:tc>
          <w:tcPr>
            <w:tcW w:w="1134" w:type="dxa"/>
          </w:tcPr>
          <w:p w14:paraId="19A128A1" w14:textId="77777777" w:rsidR="00556F5D" w:rsidRPr="00BE36E6" w:rsidRDefault="00556F5D" w:rsidP="003559FF">
            <w:pPr>
              <w:pStyle w:val="Tekstpodstawowy3"/>
              <w:spacing w:after="0"/>
              <w:jc w:val="center"/>
              <w:rPr>
                <w:rFonts w:asciiTheme="minorHAnsi" w:hAnsiTheme="minorHAnsi"/>
              </w:rPr>
            </w:pPr>
          </w:p>
        </w:tc>
        <w:tc>
          <w:tcPr>
            <w:tcW w:w="1418" w:type="dxa"/>
          </w:tcPr>
          <w:p w14:paraId="56A079A2" w14:textId="77777777" w:rsidR="00556F5D" w:rsidRPr="00BE36E6" w:rsidRDefault="00556F5D" w:rsidP="003559FF">
            <w:pPr>
              <w:pStyle w:val="Tekstpodstawowy3"/>
              <w:spacing w:after="0"/>
              <w:jc w:val="center"/>
              <w:rPr>
                <w:rFonts w:asciiTheme="minorHAnsi" w:hAnsiTheme="minorHAnsi"/>
              </w:rPr>
            </w:pPr>
          </w:p>
        </w:tc>
      </w:tr>
      <w:tr w:rsidR="003559FF" w:rsidRPr="00BE36E6" w14:paraId="6FBF4475" w14:textId="77777777" w:rsidTr="00B26AA2">
        <w:trPr>
          <w:trHeight w:val="683"/>
        </w:trPr>
        <w:tc>
          <w:tcPr>
            <w:tcW w:w="567" w:type="dxa"/>
            <w:tcBorders>
              <w:bottom w:val="single" w:sz="4" w:space="0" w:color="auto"/>
              <w:right w:val="nil"/>
            </w:tcBorders>
            <w:shd w:val="clear" w:color="auto" w:fill="F2F2F2"/>
          </w:tcPr>
          <w:p w14:paraId="6E2D312B"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tc>
        <w:tc>
          <w:tcPr>
            <w:tcW w:w="11482" w:type="dxa"/>
            <w:gridSpan w:val="7"/>
            <w:tcBorders>
              <w:left w:val="nil"/>
              <w:bottom w:val="single" w:sz="4" w:space="0" w:color="auto"/>
            </w:tcBorders>
            <w:shd w:val="clear" w:color="auto" w:fill="F2F2F2"/>
          </w:tcPr>
          <w:p w14:paraId="56C431B6"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p w14:paraId="1B77B47E" w14:textId="77777777" w:rsidR="00B26AA2" w:rsidRDefault="003559FF" w:rsidP="003559FF">
            <w:pPr>
              <w:pStyle w:val="Tekstpodstawowywcity2"/>
              <w:spacing w:after="0" w:line="240" w:lineRule="auto"/>
              <w:ind w:left="0"/>
              <w:jc w:val="center"/>
              <w:rPr>
                <w:rFonts w:asciiTheme="minorHAnsi" w:hAnsiTheme="minorHAnsi" w:cs="Tahoma"/>
                <w:b/>
                <w:sz w:val="16"/>
                <w:szCs w:val="16"/>
                <w:shd w:val="clear" w:color="auto" w:fill="F2F2F2"/>
              </w:rPr>
            </w:pPr>
            <w:r w:rsidRPr="00BE36E6">
              <w:rPr>
                <w:rFonts w:asciiTheme="minorHAnsi" w:hAnsiTheme="minorHAnsi" w:cs="Tahoma"/>
                <w:b/>
                <w:sz w:val="16"/>
                <w:szCs w:val="16"/>
                <w:shd w:val="clear" w:color="auto" w:fill="F2F2F2"/>
              </w:rPr>
              <w:t xml:space="preserve">                                                                                                                                         </w:t>
            </w:r>
          </w:p>
          <w:p w14:paraId="3FB3ECF5" w14:textId="76CDC96C" w:rsidR="003559FF" w:rsidRPr="00BE36E6" w:rsidRDefault="00B26AA2" w:rsidP="003559FF">
            <w:pPr>
              <w:pStyle w:val="Tekstpodstawowywcity2"/>
              <w:spacing w:after="0" w:line="240" w:lineRule="auto"/>
              <w:ind w:left="0"/>
              <w:jc w:val="center"/>
              <w:rPr>
                <w:rFonts w:asciiTheme="minorHAnsi" w:hAnsiTheme="minorHAnsi" w:cs="Tahoma"/>
                <w:sz w:val="16"/>
                <w:szCs w:val="16"/>
              </w:rPr>
            </w:pPr>
            <w:r>
              <w:rPr>
                <w:rFonts w:asciiTheme="minorHAnsi" w:hAnsiTheme="minorHAnsi" w:cs="Tahoma"/>
                <w:b/>
                <w:sz w:val="16"/>
                <w:szCs w:val="16"/>
                <w:shd w:val="clear" w:color="auto" w:fill="F2F2F2"/>
              </w:rPr>
              <w:t xml:space="preserve">                                                                                              </w:t>
            </w:r>
            <w:r w:rsidR="003559FF" w:rsidRPr="00BE36E6">
              <w:rPr>
                <w:rFonts w:asciiTheme="minorHAnsi" w:hAnsiTheme="minorHAnsi" w:cs="Tahoma"/>
                <w:b/>
                <w:sz w:val="16"/>
                <w:szCs w:val="16"/>
                <w:shd w:val="clear" w:color="auto" w:fill="F2F2F2"/>
              </w:rPr>
              <w:t xml:space="preserve"> </w:t>
            </w:r>
            <w:r w:rsidRPr="00BE36E6">
              <w:rPr>
                <w:rFonts w:asciiTheme="minorHAnsi" w:hAnsiTheme="minorHAnsi" w:cs="Tahoma"/>
                <w:b/>
                <w:sz w:val="16"/>
                <w:szCs w:val="16"/>
                <w:shd w:val="clear" w:color="auto" w:fill="F2F2F2"/>
              </w:rPr>
              <w:t>RAZEM WARTOŚĆ PRÓBEK</w:t>
            </w:r>
          </w:p>
        </w:tc>
        <w:tc>
          <w:tcPr>
            <w:tcW w:w="1134" w:type="dxa"/>
            <w:tcBorders>
              <w:bottom w:val="single" w:sz="4" w:space="0" w:color="auto"/>
            </w:tcBorders>
            <w:shd w:val="clear" w:color="auto" w:fill="F2F2F2"/>
          </w:tcPr>
          <w:p w14:paraId="749644AC"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418" w:type="dxa"/>
            <w:tcBorders>
              <w:bottom w:val="single" w:sz="4" w:space="0" w:color="auto"/>
            </w:tcBorders>
            <w:shd w:val="clear" w:color="auto" w:fill="F2F2F2"/>
          </w:tcPr>
          <w:p w14:paraId="43D57A3D"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r>
    </w:tbl>
    <w:p w14:paraId="3A0323BD" w14:textId="77777777"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p>
    <w:p w14:paraId="7C2DD54B" w14:textId="77777777" w:rsidR="0034566F" w:rsidRPr="004F541C" w:rsidRDefault="0034566F" w:rsidP="0034566F">
      <w:pPr>
        <w:pStyle w:val="Tekstpodstawowywcity2"/>
        <w:spacing w:after="0" w:line="240" w:lineRule="auto"/>
        <w:ind w:left="0"/>
        <w:rPr>
          <w:rFonts w:asciiTheme="majorHAnsi" w:hAnsiTheme="majorHAnsi" w:cs="Tahoma"/>
          <w:color w:val="0000FF"/>
          <w:sz w:val="20"/>
          <w:szCs w:val="20"/>
        </w:rPr>
      </w:pPr>
      <w:r w:rsidRPr="004F541C">
        <w:rPr>
          <w:rFonts w:asciiTheme="majorHAnsi" w:hAnsiTheme="majorHAnsi" w:cs="Tahoma"/>
          <w:b/>
          <w:color w:val="0000FF"/>
          <w:sz w:val="20"/>
          <w:szCs w:val="20"/>
        </w:rPr>
        <w:t xml:space="preserve">     Uwaga –</w:t>
      </w:r>
      <w:r w:rsidRPr="004F541C">
        <w:rPr>
          <w:rFonts w:asciiTheme="majorHAnsi" w:hAnsiTheme="majorHAnsi" w:cs="Tahoma"/>
          <w:color w:val="0000FF"/>
          <w:sz w:val="20"/>
          <w:szCs w:val="20"/>
        </w:rPr>
        <w:t xml:space="preserve"> Wykonawca zobowiązany jest do wpisania do tabeli </w:t>
      </w:r>
      <w:r w:rsidRPr="004F541C">
        <w:rPr>
          <w:rFonts w:asciiTheme="majorHAnsi" w:hAnsiTheme="majorHAnsi" w:cs="Tahoma"/>
          <w:color w:val="0000FF"/>
          <w:sz w:val="20"/>
          <w:szCs w:val="20"/>
          <w:u w:val="single"/>
        </w:rPr>
        <w:t xml:space="preserve">wszystkich </w:t>
      </w:r>
      <w:r w:rsidRPr="004F541C">
        <w:rPr>
          <w:rFonts w:asciiTheme="majorHAnsi" w:hAnsiTheme="majorHAnsi" w:cs="Tahoma"/>
          <w:color w:val="0000FF"/>
          <w:sz w:val="20"/>
          <w:szCs w:val="20"/>
        </w:rPr>
        <w:t xml:space="preserve">wymaganych informacji dotyczących dostarczonych próbek, również tych  </w:t>
      </w:r>
    </w:p>
    <w:p w14:paraId="1B40A073" w14:textId="4A8AF5B2" w:rsidR="0034566F" w:rsidRPr="004F541C" w:rsidRDefault="0034566F" w:rsidP="0034566F">
      <w:pPr>
        <w:pStyle w:val="Tekstpodstawowywcity2"/>
        <w:spacing w:after="0" w:line="240" w:lineRule="auto"/>
        <w:ind w:left="0"/>
        <w:rPr>
          <w:rFonts w:asciiTheme="majorHAnsi" w:hAnsiTheme="majorHAnsi" w:cs="Tahoma"/>
          <w:color w:val="0000FF"/>
          <w:sz w:val="20"/>
          <w:szCs w:val="20"/>
        </w:rPr>
      </w:pPr>
      <w:r w:rsidRPr="004F541C">
        <w:rPr>
          <w:rFonts w:asciiTheme="majorHAnsi" w:hAnsiTheme="majorHAnsi" w:cs="Tahoma"/>
          <w:color w:val="0000FF"/>
          <w:sz w:val="20"/>
          <w:szCs w:val="20"/>
        </w:rPr>
        <w:t xml:space="preserve">                       </w:t>
      </w:r>
      <w:r w:rsidR="008206A7">
        <w:rPr>
          <w:rFonts w:asciiTheme="majorHAnsi" w:hAnsiTheme="majorHAnsi" w:cs="Tahoma"/>
          <w:color w:val="0000FF"/>
          <w:sz w:val="20"/>
          <w:szCs w:val="20"/>
        </w:rPr>
        <w:t>d</w:t>
      </w:r>
      <w:bookmarkStart w:id="0" w:name="_GoBack"/>
      <w:bookmarkEnd w:id="0"/>
      <w:r w:rsidRPr="004F541C">
        <w:rPr>
          <w:rFonts w:asciiTheme="majorHAnsi" w:hAnsiTheme="majorHAnsi" w:cs="Tahoma"/>
          <w:color w:val="0000FF"/>
          <w:sz w:val="20"/>
          <w:szCs w:val="20"/>
        </w:rPr>
        <w:t>otyczących</w:t>
      </w:r>
      <w:r w:rsidR="001E3850">
        <w:rPr>
          <w:rFonts w:asciiTheme="majorHAnsi" w:hAnsiTheme="majorHAnsi" w:cs="Tahoma"/>
          <w:color w:val="0000FF"/>
          <w:sz w:val="20"/>
          <w:szCs w:val="20"/>
        </w:rPr>
        <w:t xml:space="preserve"> ich</w:t>
      </w:r>
      <w:r w:rsidRPr="004F541C">
        <w:rPr>
          <w:rFonts w:asciiTheme="majorHAnsi" w:hAnsiTheme="majorHAnsi" w:cs="Tahoma"/>
          <w:color w:val="0000FF"/>
          <w:sz w:val="20"/>
          <w:szCs w:val="20"/>
        </w:rPr>
        <w:t xml:space="preserve"> wyceny</w:t>
      </w:r>
      <w:r w:rsidRPr="00A978B7">
        <w:rPr>
          <w:rFonts w:asciiTheme="majorHAnsi" w:hAnsiTheme="majorHAnsi" w:cs="Tahoma"/>
          <w:color w:val="0000FF"/>
          <w:sz w:val="20"/>
          <w:szCs w:val="20"/>
        </w:rPr>
        <w:t>, niezależnie od składanego oświadczen</w:t>
      </w:r>
      <w:r w:rsidR="005934DD" w:rsidRPr="00A978B7">
        <w:rPr>
          <w:rFonts w:asciiTheme="majorHAnsi" w:hAnsiTheme="majorHAnsi" w:cs="Tahoma"/>
          <w:color w:val="0000FF"/>
          <w:sz w:val="20"/>
          <w:szCs w:val="20"/>
        </w:rPr>
        <w:t>ia (załącznik nr 3 do S</w:t>
      </w:r>
      <w:r w:rsidRPr="00A978B7">
        <w:rPr>
          <w:rFonts w:asciiTheme="majorHAnsi" w:hAnsiTheme="majorHAnsi" w:cs="Tahoma"/>
          <w:color w:val="0000FF"/>
          <w:sz w:val="20"/>
          <w:szCs w:val="20"/>
        </w:rPr>
        <w:t>WZ).</w:t>
      </w:r>
      <w:r w:rsidRPr="004F541C">
        <w:rPr>
          <w:rFonts w:asciiTheme="majorHAnsi" w:hAnsiTheme="majorHAnsi" w:cs="Tahoma"/>
          <w:color w:val="0000FF"/>
          <w:sz w:val="20"/>
          <w:szCs w:val="20"/>
        </w:rPr>
        <w:t xml:space="preserve"> Informacje te są niezbędne,  m.in. do przeprowadzenia      </w:t>
      </w:r>
    </w:p>
    <w:p w14:paraId="522DDF9C" w14:textId="031BAC9F" w:rsidR="00286BFA" w:rsidRPr="004F541C" w:rsidRDefault="0034566F" w:rsidP="0034566F">
      <w:pPr>
        <w:pStyle w:val="Tekstpodstawowywcity2"/>
        <w:spacing w:after="0" w:line="240" w:lineRule="auto"/>
        <w:ind w:left="0"/>
        <w:rPr>
          <w:rFonts w:asciiTheme="majorHAnsi" w:hAnsiTheme="majorHAnsi" w:cs="Tahoma"/>
          <w:color w:val="0000FF"/>
          <w:sz w:val="20"/>
          <w:szCs w:val="20"/>
        </w:rPr>
      </w:pPr>
      <w:r w:rsidRPr="004F541C">
        <w:rPr>
          <w:rFonts w:asciiTheme="majorHAnsi" w:hAnsiTheme="majorHAnsi" w:cs="Tahoma"/>
          <w:color w:val="0000FF"/>
          <w:sz w:val="20"/>
          <w:szCs w:val="20"/>
        </w:rPr>
        <w:t xml:space="preserve">                       procedury ewidencyjnej</w:t>
      </w:r>
    </w:p>
    <w:p w14:paraId="4FB52AC5" w14:textId="77777777" w:rsidR="00B26AA2"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448A57A1" w14:textId="77777777" w:rsidR="00B26AA2" w:rsidRDefault="00B26AA2" w:rsidP="00510BD5">
      <w:pPr>
        <w:pStyle w:val="Tekstpodstawowywcity2"/>
        <w:spacing w:after="0" w:line="240" w:lineRule="auto"/>
        <w:rPr>
          <w:rFonts w:asciiTheme="minorHAnsi" w:hAnsiTheme="minorHAnsi" w:cs="Tahoma"/>
          <w:sz w:val="20"/>
          <w:szCs w:val="20"/>
        </w:rPr>
      </w:pPr>
    </w:p>
    <w:p w14:paraId="0A50A79D" w14:textId="77777777" w:rsidR="00B26AA2" w:rsidRDefault="00B26AA2" w:rsidP="00510BD5">
      <w:pPr>
        <w:pStyle w:val="Tekstpodstawowywcity2"/>
        <w:spacing w:after="0" w:line="240" w:lineRule="auto"/>
        <w:rPr>
          <w:rFonts w:asciiTheme="minorHAnsi" w:hAnsiTheme="minorHAnsi" w:cs="Tahoma"/>
          <w:sz w:val="20"/>
          <w:szCs w:val="20"/>
        </w:rPr>
      </w:pPr>
    </w:p>
    <w:p w14:paraId="1C6805D6" w14:textId="4DF0B137" w:rsidR="00C90376" w:rsidRPr="00A978B7" w:rsidRDefault="001E3850" w:rsidP="00676BCD">
      <w:pPr>
        <w:pStyle w:val="arimr"/>
        <w:widowControl/>
        <w:tabs>
          <w:tab w:val="num" w:pos="993"/>
        </w:tabs>
        <w:suppressAutoHyphens/>
        <w:snapToGrid/>
        <w:spacing w:line="240" w:lineRule="auto"/>
        <w:ind w:left="426"/>
        <w:jc w:val="both"/>
        <w:rPr>
          <w:rFonts w:asciiTheme="minorHAnsi" w:hAnsiTheme="minorHAnsi"/>
          <w:b/>
          <w:color w:val="008000"/>
          <w:sz w:val="22"/>
          <w:szCs w:val="22"/>
        </w:rPr>
      </w:pPr>
      <w:r w:rsidRPr="00A978B7">
        <w:rPr>
          <w:rFonts w:asciiTheme="majorHAnsi" w:hAnsiTheme="majorHAnsi" w:cs="Segoe UI"/>
          <w:b/>
        </w:rPr>
        <w:t>Wykaz należy opatrzyć kwalifikowanym podpisem elektronicznym lub podpisem zaufanym lub podpisem osobistym osoby/osób uprawnionych do reprezentowania Wykonawcy/Wykonawców.</w:t>
      </w:r>
    </w:p>
    <w:sectPr w:rsidR="00C90376" w:rsidRPr="00A978B7" w:rsidSect="004F541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73C93" w14:textId="77777777" w:rsidR="00A1720F" w:rsidRDefault="00A1720F">
      <w:r>
        <w:separator/>
      </w:r>
    </w:p>
  </w:endnote>
  <w:endnote w:type="continuationSeparator" w:id="0">
    <w:p w14:paraId="10EBFDA5" w14:textId="77777777" w:rsidR="00A1720F" w:rsidRDefault="00A1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DD91" w14:textId="77777777" w:rsidR="00F94864" w:rsidRDefault="00F948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566423" w:rsidRPr="009433E1" w:rsidRDefault="0056642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8206A7">
      <w:rPr>
        <w:rStyle w:val="Numerstrony"/>
        <w:rFonts w:ascii="Arial Narrow" w:hAnsi="Arial Narrow"/>
        <w:noProof/>
      </w:rPr>
      <w:t>5</w:t>
    </w:r>
    <w:r w:rsidRPr="009433E1">
      <w:rPr>
        <w:rStyle w:val="Numerstrony"/>
        <w:rFonts w:ascii="Arial Narrow" w:hAnsi="Arial Narrow"/>
      </w:rPr>
      <w:fldChar w:fldCharType="end"/>
    </w:r>
  </w:p>
  <w:p w14:paraId="0F5560EE" w14:textId="77777777" w:rsidR="00566423" w:rsidRDefault="0056642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566423" w:rsidRDefault="00566423" w:rsidP="005E3059">
    <w:pPr>
      <w:pStyle w:val="Stopka"/>
      <w:framePr w:wrap="around" w:vAnchor="text" w:hAnchor="margin" w:xAlign="center" w:y="1"/>
      <w:ind w:right="360"/>
      <w:rPr>
        <w:rStyle w:val="Numerstrony"/>
      </w:rPr>
    </w:pPr>
  </w:p>
  <w:p w14:paraId="5E758F75" w14:textId="77777777" w:rsidR="00566423" w:rsidRDefault="00566423" w:rsidP="005E3059">
    <w:pPr>
      <w:pStyle w:val="Nagwek"/>
      <w:tabs>
        <w:tab w:val="clear" w:pos="9072"/>
        <w:tab w:val="right" w:pos="9360"/>
      </w:tabs>
      <w:ind w:left="-180" w:right="-288"/>
      <w:jc w:val="center"/>
      <w:rPr>
        <w:rFonts w:ascii="Arial" w:hAnsi="Arial" w:cs="Arial"/>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CC767" w14:textId="77777777" w:rsidR="00F94864" w:rsidRDefault="00F948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E0CA1" w14:textId="77777777" w:rsidR="00A1720F" w:rsidRDefault="00A1720F">
      <w:r>
        <w:separator/>
      </w:r>
    </w:p>
  </w:footnote>
  <w:footnote w:type="continuationSeparator" w:id="0">
    <w:p w14:paraId="29D7CFE0" w14:textId="77777777" w:rsidR="00A1720F" w:rsidRDefault="00A1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58C0" w14:textId="77777777" w:rsidR="00F94864" w:rsidRDefault="00F948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955C5" w14:textId="77777777" w:rsidR="0060018C" w:rsidRPr="00827535" w:rsidRDefault="0060018C" w:rsidP="0060018C">
    <w:pPr>
      <w:pStyle w:val="Nagwek"/>
      <w:spacing w:line="276" w:lineRule="auto"/>
      <w:jc w:val="center"/>
      <w:rPr>
        <w:rFonts w:ascii="Arial" w:hAnsi="Arial" w:cs="Arial"/>
        <w:b/>
        <w:i/>
        <w:sz w:val="16"/>
        <w:szCs w:val="16"/>
      </w:rPr>
    </w:pPr>
    <w:r w:rsidRPr="00827535">
      <w:rPr>
        <w:rFonts w:ascii="Arial" w:hAnsi="Arial" w:cs="Arial"/>
        <w:b/>
        <w:i/>
        <w:sz w:val="16"/>
        <w:szCs w:val="16"/>
      </w:rPr>
      <w:t>Specyfikacja Warunków Zamówienia</w:t>
    </w:r>
  </w:p>
  <w:p w14:paraId="73BC578E" w14:textId="77777777" w:rsidR="0060018C" w:rsidRDefault="0060018C" w:rsidP="0060018C">
    <w:pPr>
      <w:pStyle w:val="Nagwek"/>
      <w:spacing w:line="276" w:lineRule="auto"/>
      <w:jc w:val="center"/>
      <w:rPr>
        <w:rFonts w:ascii="Arial" w:hAnsi="Arial" w:cs="Arial"/>
        <w:sz w:val="16"/>
        <w:szCs w:val="16"/>
      </w:rPr>
    </w:pPr>
    <w:r w:rsidRPr="00457068">
      <w:rPr>
        <w:rFonts w:ascii="Arial" w:hAnsi="Arial" w:cs="Arial"/>
        <w:sz w:val="16"/>
        <w:szCs w:val="16"/>
      </w:rPr>
      <w:t>dla postępowania prowadzonego w try</w:t>
    </w:r>
    <w:r>
      <w:rPr>
        <w:rFonts w:ascii="Arial" w:hAnsi="Arial" w:cs="Arial"/>
        <w:sz w:val="16"/>
        <w:szCs w:val="16"/>
      </w:rPr>
      <w:t>bie art. 275 pkt 1 ustawy Pzp</w:t>
    </w:r>
    <w:r w:rsidRPr="00457068">
      <w:rPr>
        <w:rFonts w:ascii="Arial" w:hAnsi="Arial" w:cs="Arial"/>
        <w:sz w:val="16"/>
        <w:szCs w:val="16"/>
      </w:rPr>
      <w:t xml:space="preserve"> (tryb podstawowy bez negocjacji)</w:t>
    </w:r>
    <w:r>
      <w:rPr>
        <w:rFonts w:ascii="Arial" w:hAnsi="Arial" w:cs="Arial"/>
        <w:sz w:val="16"/>
        <w:szCs w:val="16"/>
      </w:rPr>
      <w:t xml:space="preserve"> pod nazwą:</w:t>
    </w:r>
  </w:p>
  <w:p w14:paraId="1B77DF7E" w14:textId="25CB65DF" w:rsidR="0060018C" w:rsidRPr="00827535" w:rsidRDefault="0060018C" w:rsidP="0060018C">
    <w:pPr>
      <w:pStyle w:val="Nagwek"/>
      <w:spacing w:line="276" w:lineRule="auto"/>
      <w:jc w:val="center"/>
      <w:rPr>
        <w:rFonts w:ascii="Arial" w:hAnsi="Arial" w:cs="Arial"/>
        <w:b/>
        <w:sz w:val="16"/>
        <w:szCs w:val="16"/>
      </w:rPr>
    </w:pPr>
    <w:r w:rsidRPr="00827535">
      <w:rPr>
        <w:rFonts w:ascii="Arial" w:hAnsi="Arial" w:cs="Arial"/>
        <w:b/>
        <w:sz w:val="16"/>
        <w:szCs w:val="16"/>
      </w:rPr>
      <w:t>„</w:t>
    </w:r>
    <w:r w:rsidR="00F94864">
      <w:rPr>
        <w:rFonts w:ascii="Arial" w:hAnsi="Arial" w:cs="Arial"/>
        <w:b/>
        <w:sz w:val="16"/>
        <w:szCs w:val="16"/>
        <w:lang w:val="pl-PL"/>
      </w:rPr>
      <w:t>Sukcesywna d</w:t>
    </w:r>
    <w:r w:rsidRPr="00827535">
      <w:rPr>
        <w:rFonts w:ascii="Arial" w:hAnsi="Arial" w:cs="Arial"/>
        <w:b/>
        <w:sz w:val="16"/>
        <w:szCs w:val="16"/>
      </w:rPr>
      <w:t>ostawa materiałów do sterylizacji do Samodzielnego Publicznego Klinicznego Szpitala Okulistycznego”</w:t>
    </w:r>
  </w:p>
  <w:p w14:paraId="60C5B6D1" w14:textId="77777777" w:rsidR="0060018C" w:rsidRPr="00457068" w:rsidRDefault="0060018C" w:rsidP="0060018C">
    <w:pPr>
      <w:pStyle w:val="Nagwek"/>
      <w:spacing w:line="276" w:lineRule="auto"/>
      <w:jc w:val="center"/>
      <w:rPr>
        <w:rFonts w:ascii="Arial" w:hAnsi="Arial" w:cs="Arial"/>
        <w:sz w:val="16"/>
        <w:szCs w:val="16"/>
      </w:rPr>
    </w:pPr>
    <w:r>
      <w:rPr>
        <w:rFonts w:ascii="Arial" w:hAnsi="Arial" w:cs="Arial"/>
        <w:sz w:val="16"/>
        <w:szCs w:val="16"/>
      </w:rPr>
      <w:t>Nr referencyjny: ZP/01/2021</w:t>
    </w:r>
  </w:p>
  <w:p w14:paraId="797C102B" w14:textId="77777777" w:rsidR="00566423" w:rsidRDefault="0056642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5069" w14:textId="77777777" w:rsidR="00F94864" w:rsidRDefault="00F948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6576D5F"/>
    <w:multiLevelType w:val="hybridMultilevel"/>
    <w:tmpl w:val="3948FC0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2">
    <w:nsid w:val="200B0B72"/>
    <w:multiLevelType w:val="singleLevel"/>
    <w:tmpl w:val="04150011"/>
    <w:lvl w:ilvl="0">
      <w:start w:val="1"/>
      <w:numFmt w:val="decimal"/>
      <w:lvlText w:val="%1)"/>
      <w:lvlJc w:val="left"/>
      <w:pPr>
        <w:ind w:left="2340" w:hanging="360"/>
      </w:pPr>
    </w:lvl>
  </w:abstractNum>
  <w:abstractNum w:abstractNumId="23">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4">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38"/>
  </w:num>
  <w:num w:numId="3">
    <w:abstractNumId w:val="2"/>
  </w:num>
  <w:num w:numId="4">
    <w:abstractNumId w:val="1"/>
  </w:num>
  <w:num w:numId="5">
    <w:abstractNumId w:val="0"/>
  </w:num>
  <w:num w:numId="6">
    <w:abstractNumId w:val="51"/>
  </w:num>
  <w:num w:numId="7">
    <w:abstractNumId w:val="16"/>
  </w:num>
  <w:num w:numId="8">
    <w:abstractNumId w:val="13"/>
  </w:num>
  <w:num w:numId="9">
    <w:abstractNumId w:val="23"/>
  </w:num>
  <w:num w:numId="10">
    <w:abstractNumId w:val="27"/>
  </w:num>
  <w:num w:numId="11">
    <w:abstractNumId w:val="19"/>
  </w:num>
  <w:num w:numId="12">
    <w:abstractNumId w:val="43"/>
  </w:num>
  <w:num w:numId="13">
    <w:abstractNumId w:val="28"/>
  </w:num>
  <w:num w:numId="14">
    <w:abstractNumId w:val="35"/>
  </w:num>
  <w:num w:numId="15">
    <w:abstractNumId w:val="12"/>
  </w:num>
  <w:num w:numId="16">
    <w:abstractNumId w:val="30"/>
  </w:num>
  <w:num w:numId="17">
    <w:abstractNumId w:val="46"/>
  </w:num>
  <w:num w:numId="18">
    <w:abstractNumId w:val="42"/>
  </w:num>
  <w:num w:numId="19">
    <w:abstractNumId w:val="45"/>
  </w:num>
  <w:num w:numId="20">
    <w:abstractNumId w:val="22"/>
  </w:num>
  <w:num w:numId="21">
    <w:abstractNumId w:val="33"/>
  </w:num>
  <w:num w:numId="22">
    <w:abstractNumId w:val="49"/>
  </w:num>
  <w:num w:numId="23">
    <w:abstractNumId w:val="21"/>
  </w:num>
  <w:num w:numId="24">
    <w:abstractNumId w:val="25"/>
  </w:num>
  <w:num w:numId="25">
    <w:abstractNumId w:val="44"/>
    <w:lvlOverride w:ilvl="0">
      <w:startOverride w:val="1"/>
    </w:lvlOverride>
  </w:num>
  <w:num w:numId="26">
    <w:abstractNumId w:val="37"/>
    <w:lvlOverride w:ilvl="0">
      <w:startOverride w:val="1"/>
    </w:lvlOverride>
  </w:num>
  <w:num w:numId="27">
    <w:abstractNumId w:val="26"/>
  </w:num>
  <w:num w:numId="28">
    <w:abstractNumId w:val="31"/>
  </w:num>
  <w:num w:numId="29">
    <w:abstractNumId w:val="47"/>
  </w:num>
  <w:num w:numId="30">
    <w:abstractNumId w:val="32"/>
  </w:num>
  <w:num w:numId="31">
    <w:abstractNumId w:val="50"/>
  </w:num>
  <w:num w:numId="32">
    <w:abstractNumId w:val="52"/>
  </w:num>
  <w:num w:numId="33">
    <w:abstractNumId w:val="5"/>
  </w:num>
  <w:num w:numId="34">
    <w:abstractNumId w:val="3"/>
  </w:num>
  <w:num w:numId="35">
    <w:abstractNumId w:val="4"/>
  </w:num>
  <w:num w:numId="36">
    <w:abstractNumId w:val="55"/>
  </w:num>
  <w:num w:numId="37">
    <w:abstractNumId w:val="9"/>
  </w:num>
  <w:num w:numId="38">
    <w:abstractNumId w:val="24"/>
  </w:num>
  <w:num w:numId="39">
    <w:abstractNumId w:val="34"/>
  </w:num>
  <w:num w:numId="40">
    <w:abstractNumId w:val="20"/>
  </w:num>
  <w:num w:numId="41">
    <w:abstractNumId w:val="29"/>
  </w:num>
  <w:num w:numId="42">
    <w:abstractNumId w:val="6"/>
  </w:num>
  <w:num w:numId="43">
    <w:abstractNumId w:val="36"/>
  </w:num>
  <w:num w:numId="44">
    <w:abstractNumId w:val="41"/>
  </w:num>
  <w:num w:numId="45">
    <w:abstractNumId w:val="54"/>
  </w:num>
  <w:num w:numId="46">
    <w:abstractNumId w:val="17"/>
  </w:num>
  <w:num w:numId="47">
    <w:abstractNumId w:val="40"/>
  </w:num>
  <w:num w:numId="48">
    <w:abstractNumId w:val="15"/>
  </w:num>
  <w:num w:numId="49">
    <w:abstractNumId w:val="18"/>
    <w:lvlOverride w:ilvl="0">
      <w:startOverride w:val="1"/>
    </w:lvlOverride>
  </w:num>
  <w:num w:numId="50">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8"/>
  </w:num>
  <w:num w:numId="54">
    <w:abstractNumId w:val="7"/>
  </w:num>
  <w:num w:numId="55">
    <w:abstractNumId w:val="14"/>
  </w:num>
  <w:num w:numId="56">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36D3"/>
    <w:rsid w:val="00015624"/>
    <w:rsid w:val="00030B08"/>
    <w:rsid w:val="00037869"/>
    <w:rsid w:val="000401FF"/>
    <w:rsid w:val="00041EA3"/>
    <w:rsid w:val="00053B4F"/>
    <w:rsid w:val="000612D6"/>
    <w:rsid w:val="00062BC3"/>
    <w:rsid w:val="000731B6"/>
    <w:rsid w:val="00074EA1"/>
    <w:rsid w:val="00080477"/>
    <w:rsid w:val="00093268"/>
    <w:rsid w:val="00096069"/>
    <w:rsid w:val="000A08A0"/>
    <w:rsid w:val="000A0D3B"/>
    <w:rsid w:val="000A4D1B"/>
    <w:rsid w:val="000A77CE"/>
    <w:rsid w:val="000B256D"/>
    <w:rsid w:val="000C2A14"/>
    <w:rsid w:val="000E3611"/>
    <w:rsid w:val="000E6BF2"/>
    <w:rsid w:val="000E6D8E"/>
    <w:rsid w:val="000F32EE"/>
    <w:rsid w:val="001076EE"/>
    <w:rsid w:val="001216D0"/>
    <w:rsid w:val="001250E7"/>
    <w:rsid w:val="00127127"/>
    <w:rsid w:val="0013144D"/>
    <w:rsid w:val="001555F6"/>
    <w:rsid w:val="00156B87"/>
    <w:rsid w:val="0016717E"/>
    <w:rsid w:val="00185859"/>
    <w:rsid w:val="0018712A"/>
    <w:rsid w:val="0019286B"/>
    <w:rsid w:val="00192F3F"/>
    <w:rsid w:val="001B5A76"/>
    <w:rsid w:val="001C0EA1"/>
    <w:rsid w:val="001C1363"/>
    <w:rsid w:val="001C349A"/>
    <w:rsid w:val="001D0B68"/>
    <w:rsid w:val="001D6FFF"/>
    <w:rsid w:val="001E290C"/>
    <w:rsid w:val="001E3850"/>
    <w:rsid w:val="001E6C7C"/>
    <w:rsid w:val="001F1F35"/>
    <w:rsid w:val="001F2392"/>
    <w:rsid w:val="001F2BDA"/>
    <w:rsid w:val="001F6DD3"/>
    <w:rsid w:val="0020081E"/>
    <w:rsid w:val="00210681"/>
    <w:rsid w:val="00220797"/>
    <w:rsid w:val="00224ABA"/>
    <w:rsid w:val="00226C84"/>
    <w:rsid w:val="002308FF"/>
    <w:rsid w:val="00245291"/>
    <w:rsid w:val="002552E6"/>
    <w:rsid w:val="00255F57"/>
    <w:rsid w:val="00257BB8"/>
    <w:rsid w:val="00271F28"/>
    <w:rsid w:val="00276C50"/>
    <w:rsid w:val="00286BFA"/>
    <w:rsid w:val="002941F3"/>
    <w:rsid w:val="002967F6"/>
    <w:rsid w:val="002A1FB6"/>
    <w:rsid w:val="002A4682"/>
    <w:rsid w:val="002A77C1"/>
    <w:rsid w:val="002A7CFB"/>
    <w:rsid w:val="002B5CC2"/>
    <w:rsid w:val="002D1146"/>
    <w:rsid w:val="002D1BB4"/>
    <w:rsid w:val="002D5686"/>
    <w:rsid w:val="002E3A8F"/>
    <w:rsid w:val="002E4DA4"/>
    <w:rsid w:val="002F7297"/>
    <w:rsid w:val="00302547"/>
    <w:rsid w:val="00304BAB"/>
    <w:rsid w:val="00314DC5"/>
    <w:rsid w:val="00322343"/>
    <w:rsid w:val="003270F6"/>
    <w:rsid w:val="0034566F"/>
    <w:rsid w:val="0034755F"/>
    <w:rsid w:val="003559FF"/>
    <w:rsid w:val="0035758C"/>
    <w:rsid w:val="00357A5E"/>
    <w:rsid w:val="00360125"/>
    <w:rsid w:val="003875E8"/>
    <w:rsid w:val="00392D12"/>
    <w:rsid w:val="00395568"/>
    <w:rsid w:val="003A2363"/>
    <w:rsid w:val="003A2D4B"/>
    <w:rsid w:val="003B7E09"/>
    <w:rsid w:val="003D0114"/>
    <w:rsid w:val="003D33B4"/>
    <w:rsid w:val="003D7913"/>
    <w:rsid w:val="003F1919"/>
    <w:rsid w:val="004028DA"/>
    <w:rsid w:val="004034FF"/>
    <w:rsid w:val="004048BC"/>
    <w:rsid w:val="00404D7B"/>
    <w:rsid w:val="0040790B"/>
    <w:rsid w:val="00414D42"/>
    <w:rsid w:val="004170AE"/>
    <w:rsid w:val="0042444D"/>
    <w:rsid w:val="00427453"/>
    <w:rsid w:val="004316A0"/>
    <w:rsid w:val="0043699D"/>
    <w:rsid w:val="00437284"/>
    <w:rsid w:val="004413A1"/>
    <w:rsid w:val="004423E9"/>
    <w:rsid w:val="00444056"/>
    <w:rsid w:val="00444F75"/>
    <w:rsid w:val="00451BAB"/>
    <w:rsid w:val="0045589E"/>
    <w:rsid w:val="0046226C"/>
    <w:rsid w:val="00464F00"/>
    <w:rsid w:val="00465361"/>
    <w:rsid w:val="0046797D"/>
    <w:rsid w:val="00475AA0"/>
    <w:rsid w:val="00477247"/>
    <w:rsid w:val="004810B3"/>
    <w:rsid w:val="0048157E"/>
    <w:rsid w:val="004871C8"/>
    <w:rsid w:val="00491F35"/>
    <w:rsid w:val="00492EC2"/>
    <w:rsid w:val="004A4535"/>
    <w:rsid w:val="004A4C5F"/>
    <w:rsid w:val="004B3F91"/>
    <w:rsid w:val="004C1D8C"/>
    <w:rsid w:val="004C2C36"/>
    <w:rsid w:val="004C33E9"/>
    <w:rsid w:val="004C5088"/>
    <w:rsid w:val="004C6172"/>
    <w:rsid w:val="004E0799"/>
    <w:rsid w:val="004F541C"/>
    <w:rsid w:val="004F7CEE"/>
    <w:rsid w:val="005106D6"/>
    <w:rsid w:val="00510BD5"/>
    <w:rsid w:val="0051705F"/>
    <w:rsid w:val="00523A86"/>
    <w:rsid w:val="0053482E"/>
    <w:rsid w:val="005376E5"/>
    <w:rsid w:val="00543F99"/>
    <w:rsid w:val="00544EC1"/>
    <w:rsid w:val="00552FBA"/>
    <w:rsid w:val="00556F5D"/>
    <w:rsid w:val="00557558"/>
    <w:rsid w:val="00557B4B"/>
    <w:rsid w:val="00566423"/>
    <w:rsid w:val="00573116"/>
    <w:rsid w:val="005934DD"/>
    <w:rsid w:val="005944B8"/>
    <w:rsid w:val="00596A11"/>
    <w:rsid w:val="005B19D8"/>
    <w:rsid w:val="005B2DA4"/>
    <w:rsid w:val="005B5A5D"/>
    <w:rsid w:val="005C138A"/>
    <w:rsid w:val="005D4DD1"/>
    <w:rsid w:val="005E07A0"/>
    <w:rsid w:val="005E3059"/>
    <w:rsid w:val="005E58B9"/>
    <w:rsid w:val="005E7CE9"/>
    <w:rsid w:val="005F758C"/>
    <w:rsid w:val="0060018C"/>
    <w:rsid w:val="006004C2"/>
    <w:rsid w:val="0060204D"/>
    <w:rsid w:val="006025D3"/>
    <w:rsid w:val="006032F4"/>
    <w:rsid w:val="00604B96"/>
    <w:rsid w:val="00605F97"/>
    <w:rsid w:val="00606FDA"/>
    <w:rsid w:val="00612C41"/>
    <w:rsid w:val="00627978"/>
    <w:rsid w:val="00633AC0"/>
    <w:rsid w:val="006350AE"/>
    <w:rsid w:val="00635FFD"/>
    <w:rsid w:val="00640475"/>
    <w:rsid w:val="00657F09"/>
    <w:rsid w:val="00672733"/>
    <w:rsid w:val="00676BCD"/>
    <w:rsid w:val="00676BCE"/>
    <w:rsid w:val="0068399D"/>
    <w:rsid w:val="00694D31"/>
    <w:rsid w:val="006A0A24"/>
    <w:rsid w:val="006A22D2"/>
    <w:rsid w:val="006A7E35"/>
    <w:rsid w:val="006B090F"/>
    <w:rsid w:val="006C5BEC"/>
    <w:rsid w:val="006F3D41"/>
    <w:rsid w:val="006F4894"/>
    <w:rsid w:val="00701C68"/>
    <w:rsid w:val="00716E6A"/>
    <w:rsid w:val="00722B61"/>
    <w:rsid w:val="007467BE"/>
    <w:rsid w:val="00747E72"/>
    <w:rsid w:val="00751C40"/>
    <w:rsid w:val="0075227B"/>
    <w:rsid w:val="007568AF"/>
    <w:rsid w:val="00757059"/>
    <w:rsid w:val="007578AD"/>
    <w:rsid w:val="00764768"/>
    <w:rsid w:val="00776D7B"/>
    <w:rsid w:val="0078386A"/>
    <w:rsid w:val="00790124"/>
    <w:rsid w:val="00797443"/>
    <w:rsid w:val="007A4E10"/>
    <w:rsid w:val="007B6766"/>
    <w:rsid w:val="007B761E"/>
    <w:rsid w:val="007C4E57"/>
    <w:rsid w:val="007D1E82"/>
    <w:rsid w:val="007D5A18"/>
    <w:rsid w:val="007F26B4"/>
    <w:rsid w:val="007F4126"/>
    <w:rsid w:val="00810BFF"/>
    <w:rsid w:val="008206A7"/>
    <w:rsid w:val="00822C22"/>
    <w:rsid w:val="00825AB2"/>
    <w:rsid w:val="0083018D"/>
    <w:rsid w:val="0083188E"/>
    <w:rsid w:val="00856553"/>
    <w:rsid w:val="00865B7B"/>
    <w:rsid w:val="00865C0C"/>
    <w:rsid w:val="00880A18"/>
    <w:rsid w:val="008846A9"/>
    <w:rsid w:val="00891168"/>
    <w:rsid w:val="008922D5"/>
    <w:rsid w:val="0089511D"/>
    <w:rsid w:val="0089561B"/>
    <w:rsid w:val="008A2D85"/>
    <w:rsid w:val="008B2662"/>
    <w:rsid w:val="008B6F5A"/>
    <w:rsid w:val="00900752"/>
    <w:rsid w:val="009008F0"/>
    <w:rsid w:val="00900905"/>
    <w:rsid w:val="009058F3"/>
    <w:rsid w:val="00911B29"/>
    <w:rsid w:val="009472F6"/>
    <w:rsid w:val="009504AB"/>
    <w:rsid w:val="0096497A"/>
    <w:rsid w:val="009675C4"/>
    <w:rsid w:val="00981BA8"/>
    <w:rsid w:val="00986319"/>
    <w:rsid w:val="00994170"/>
    <w:rsid w:val="009A0F91"/>
    <w:rsid w:val="009A1A78"/>
    <w:rsid w:val="009A510D"/>
    <w:rsid w:val="009B0EC5"/>
    <w:rsid w:val="009B2BE1"/>
    <w:rsid w:val="009B4F9A"/>
    <w:rsid w:val="009B7B93"/>
    <w:rsid w:val="009B7F80"/>
    <w:rsid w:val="009C2B16"/>
    <w:rsid w:val="009D03F0"/>
    <w:rsid w:val="009E47E9"/>
    <w:rsid w:val="009F194A"/>
    <w:rsid w:val="009F4C40"/>
    <w:rsid w:val="00A009F9"/>
    <w:rsid w:val="00A07AA4"/>
    <w:rsid w:val="00A10C0E"/>
    <w:rsid w:val="00A1720F"/>
    <w:rsid w:val="00A26938"/>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804CC"/>
    <w:rsid w:val="00A978B7"/>
    <w:rsid w:val="00AA16F4"/>
    <w:rsid w:val="00AA680A"/>
    <w:rsid w:val="00AB703D"/>
    <w:rsid w:val="00AC30B7"/>
    <w:rsid w:val="00AD10D8"/>
    <w:rsid w:val="00AE1905"/>
    <w:rsid w:val="00AE5EEB"/>
    <w:rsid w:val="00AE6DCC"/>
    <w:rsid w:val="00AE6FDB"/>
    <w:rsid w:val="00AE7B25"/>
    <w:rsid w:val="00B011C3"/>
    <w:rsid w:val="00B02057"/>
    <w:rsid w:val="00B174BA"/>
    <w:rsid w:val="00B17DE2"/>
    <w:rsid w:val="00B20755"/>
    <w:rsid w:val="00B2217B"/>
    <w:rsid w:val="00B228EB"/>
    <w:rsid w:val="00B22D1D"/>
    <w:rsid w:val="00B236BF"/>
    <w:rsid w:val="00B24AA5"/>
    <w:rsid w:val="00B26AA2"/>
    <w:rsid w:val="00B27248"/>
    <w:rsid w:val="00B40730"/>
    <w:rsid w:val="00B44E07"/>
    <w:rsid w:val="00B46B46"/>
    <w:rsid w:val="00B57463"/>
    <w:rsid w:val="00B60799"/>
    <w:rsid w:val="00B634D8"/>
    <w:rsid w:val="00B70873"/>
    <w:rsid w:val="00B97E4A"/>
    <w:rsid w:val="00BA26B0"/>
    <w:rsid w:val="00BB3F7E"/>
    <w:rsid w:val="00BB445F"/>
    <w:rsid w:val="00BC47F3"/>
    <w:rsid w:val="00BC5AA3"/>
    <w:rsid w:val="00BC6809"/>
    <w:rsid w:val="00BD007C"/>
    <w:rsid w:val="00BD11A4"/>
    <w:rsid w:val="00BD2D6D"/>
    <w:rsid w:val="00BD5D76"/>
    <w:rsid w:val="00BE1B2F"/>
    <w:rsid w:val="00BE36E6"/>
    <w:rsid w:val="00BE76B4"/>
    <w:rsid w:val="00BF03BD"/>
    <w:rsid w:val="00BF126E"/>
    <w:rsid w:val="00BF2288"/>
    <w:rsid w:val="00C01278"/>
    <w:rsid w:val="00C019D1"/>
    <w:rsid w:val="00C150BD"/>
    <w:rsid w:val="00C15F45"/>
    <w:rsid w:val="00C227D6"/>
    <w:rsid w:val="00C23FF6"/>
    <w:rsid w:val="00C41F43"/>
    <w:rsid w:val="00C53368"/>
    <w:rsid w:val="00C545E4"/>
    <w:rsid w:val="00C57529"/>
    <w:rsid w:val="00C57950"/>
    <w:rsid w:val="00C60068"/>
    <w:rsid w:val="00C61A7D"/>
    <w:rsid w:val="00C81D21"/>
    <w:rsid w:val="00C858C0"/>
    <w:rsid w:val="00C90376"/>
    <w:rsid w:val="00CC2309"/>
    <w:rsid w:val="00CC3070"/>
    <w:rsid w:val="00CD54E3"/>
    <w:rsid w:val="00CD5E0D"/>
    <w:rsid w:val="00CE44C8"/>
    <w:rsid w:val="00CF0F7A"/>
    <w:rsid w:val="00CF269E"/>
    <w:rsid w:val="00D04225"/>
    <w:rsid w:val="00D05F80"/>
    <w:rsid w:val="00D06410"/>
    <w:rsid w:val="00D07418"/>
    <w:rsid w:val="00D11826"/>
    <w:rsid w:val="00D1515C"/>
    <w:rsid w:val="00D17037"/>
    <w:rsid w:val="00D21059"/>
    <w:rsid w:val="00D236DB"/>
    <w:rsid w:val="00D31D5E"/>
    <w:rsid w:val="00D44FD0"/>
    <w:rsid w:val="00D46124"/>
    <w:rsid w:val="00D54CB9"/>
    <w:rsid w:val="00D54EB9"/>
    <w:rsid w:val="00D60108"/>
    <w:rsid w:val="00D66C61"/>
    <w:rsid w:val="00D769C8"/>
    <w:rsid w:val="00D90268"/>
    <w:rsid w:val="00DB18B0"/>
    <w:rsid w:val="00DB4133"/>
    <w:rsid w:val="00DB5D08"/>
    <w:rsid w:val="00DC0873"/>
    <w:rsid w:val="00DC41EC"/>
    <w:rsid w:val="00DC727C"/>
    <w:rsid w:val="00DD42E7"/>
    <w:rsid w:val="00DD5982"/>
    <w:rsid w:val="00DE1E9B"/>
    <w:rsid w:val="00DF3869"/>
    <w:rsid w:val="00E007B1"/>
    <w:rsid w:val="00E134EB"/>
    <w:rsid w:val="00E14C83"/>
    <w:rsid w:val="00E234B6"/>
    <w:rsid w:val="00E3294A"/>
    <w:rsid w:val="00E37F70"/>
    <w:rsid w:val="00E41C77"/>
    <w:rsid w:val="00E47E5D"/>
    <w:rsid w:val="00E510C4"/>
    <w:rsid w:val="00E52C3B"/>
    <w:rsid w:val="00E53655"/>
    <w:rsid w:val="00E822CE"/>
    <w:rsid w:val="00EB06CA"/>
    <w:rsid w:val="00EB3728"/>
    <w:rsid w:val="00EB7A75"/>
    <w:rsid w:val="00EC7442"/>
    <w:rsid w:val="00ED0A34"/>
    <w:rsid w:val="00EF02F0"/>
    <w:rsid w:val="00EF0F1D"/>
    <w:rsid w:val="00F003B2"/>
    <w:rsid w:val="00F03F18"/>
    <w:rsid w:val="00F04096"/>
    <w:rsid w:val="00F10523"/>
    <w:rsid w:val="00F171C1"/>
    <w:rsid w:val="00F2618B"/>
    <w:rsid w:val="00F30409"/>
    <w:rsid w:val="00F42EFE"/>
    <w:rsid w:val="00F5044D"/>
    <w:rsid w:val="00F7119C"/>
    <w:rsid w:val="00F7689B"/>
    <w:rsid w:val="00F773E9"/>
    <w:rsid w:val="00F90BE8"/>
    <w:rsid w:val="00F93D06"/>
    <w:rsid w:val="00F94864"/>
    <w:rsid w:val="00FA156A"/>
    <w:rsid w:val="00FA36C6"/>
    <w:rsid w:val="00FA3840"/>
    <w:rsid w:val="00FB05DF"/>
    <w:rsid w:val="00FB2DB6"/>
    <w:rsid w:val="00FB795B"/>
    <w:rsid w:val="00FC55DF"/>
    <w:rsid w:val="00FC5DA2"/>
    <w:rsid w:val="00FD75E1"/>
    <w:rsid w:val="00FE0CFB"/>
    <w:rsid w:val="00FE66D9"/>
    <w:rsid w:val="00FE6E3A"/>
    <w:rsid w:val="00FE70D4"/>
    <w:rsid w:val="00FF11FB"/>
    <w:rsid w:val="00FF4B98"/>
    <w:rsid w:val="00FF5F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ED7114E"/>
  <w14:defaultImageDpi w14:val="300"/>
  <w15:docId w15:val="{B4A7FFC4-F911-45BA-A5E5-38CDAF2A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A776-F394-461C-B329-8C6F9E81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7046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 Czaban</dc:creator>
  <cp:lastModifiedBy>Wiesława Bugalska</cp:lastModifiedBy>
  <cp:revision>2</cp:revision>
  <cp:lastPrinted>2021-03-12T11:11:00Z</cp:lastPrinted>
  <dcterms:created xsi:type="dcterms:W3CDTF">2021-03-23T09:05:00Z</dcterms:created>
  <dcterms:modified xsi:type="dcterms:W3CDTF">2021-03-23T09:05:00Z</dcterms:modified>
</cp:coreProperties>
</file>