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03994" w14:textId="731AB8E1" w:rsidR="009F4F61" w:rsidRPr="00F516C0" w:rsidRDefault="009F4F61" w:rsidP="009F4F61">
      <w:pPr>
        <w:pStyle w:val="Nagwek2"/>
        <w:numPr>
          <w:ilvl w:val="0"/>
          <w:numId w:val="0"/>
        </w:numPr>
        <w:rPr>
          <w:rFonts w:asciiTheme="majorHAnsi" w:hAnsiTheme="majorHAnsi" w:cstheme="majorHAnsi"/>
          <w:lang w:bidi="he-IL"/>
        </w:rPr>
      </w:pPr>
      <w:r w:rsidRPr="00F516C0">
        <w:rPr>
          <w:rFonts w:asciiTheme="majorHAnsi" w:hAnsiTheme="majorHAnsi" w:cstheme="majorHAnsi"/>
          <w:lang w:bidi="he-IL"/>
        </w:rPr>
        <w:t xml:space="preserve">Załącznik nr </w:t>
      </w:r>
      <w:r w:rsidR="005300C8" w:rsidRPr="00F516C0">
        <w:rPr>
          <w:rFonts w:asciiTheme="majorHAnsi" w:hAnsiTheme="majorHAnsi" w:cstheme="majorHAnsi"/>
          <w:lang w:bidi="he-IL"/>
        </w:rPr>
        <w:t>4a</w:t>
      </w:r>
      <w:r w:rsidRPr="00F516C0">
        <w:rPr>
          <w:rFonts w:asciiTheme="majorHAnsi" w:hAnsiTheme="majorHAnsi" w:cstheme="majorHAnsi"/>
          <w:lang w:bidi="he-IL"/>
        </w:rPr>
        <w:t xml:space="preserve"> do </w:t>
      </w:r>
      <w:r w:rsidR="005300C8" w:rsidRPr="00F516C0">
        <w:rPr>
          <w:rFonts w:asciiTheme="majorHAnsi" w:hAnsiTheme="majorHAnsi" w:cstheme="majorHAnsi"/>
          <w:lang w:bidi="he-IL"/>
        </w:rPr>
        <w:t>Umowy</w:t>
      </w:r>
      <w:r w:rsidRPr="00F516C0">
        <w:rPr>
          <w:rFonts w:asciiTheme="majorHAnsi" w:hAnsiTheme="majorHAnsi" w:cstheme="majorHAnsi"/>
          <w:lang w:bidi="he-IL"/>
        </w:rPr>
        <w:t>– wzór gwarancji ZNW</w:t>
      </w:r>
    </w:p>
    <w:p w14:paraId="0FDDD09D" w14:textId="77777777" w:rsidR="009F4F61" w:rsidRPr="00F516C0" w:rsidRDefault="009F4F61" w:rsidP="009F4F61">
      <w:pPr>
        <w:rPr>
          <w:rFonts w:asciiTheme="majorHAnsi" w:hAnsiTheme="majorHAnsi" w:cstheme="majorHAnsi"/>
          <w:lang w:bidi="he-IL"/>
        </w:rPr>
      </w:pPr>
    </w:p>
    <w:p w14:paraId="4B98D59A" w14:textId="77777777" w:rsidR="009F4F61" w:rsidRPr="00F516C0" w:rsidRDefault="009F4F61" w:rsidP="009F4F61">
      <w:pPr>
        <w:rPr>
          <w:rFonts w:asciiTheme="majorHAnsi" w:hAnsiTheme="majorHAnsi" w:cstheme="majorHAnsi"/>
          <w:lang w:bidi="he-IL"/>
        </w:rPr>
      </w:pPr>
    </w:p>
    <w:p w14:paraId="4147421F" w14:textId="56C7159A" w:rsidR="009F4F61" w:rsidRPr="00F516C0" w:rsidRDefault="009F4F61" w:rsidP="009F4F61">
      <w:pPr>
        <w:jc w:val="center"/>
        <w:rPr>
          <w:rFonts w:asciiTheme="majorHAnsi" w:hAnsiTheme="majorHAnsi" w:cstheme="majorHAnsi"/>
          <w:b/>
          <w:bCs/>
          <w:lang w:bidi="he-IL"/>
        </w:rPr>
      </w:pPr>
      <w:r w:rsidRPr="00F516C0">
        <w:rPr>
          <w:rFonts w:asciiTheme="majorHAnsi" w:hAnsiTheme="majorHAnsi" w:cstheme="majorHAnsi"/>
          <w:b/>
          <w:bCs/>
          <w:lang w:bidi="he-IL"/>
        </w:rPr>
        <w:t>GWARANCJA NALEŻYTEGO WYKONANIA</w:t>
      </w:r>
      <w:r w:rsidR="005300C8" w:rsidRPr="00F516C0">
        <w:rPr>
          <w:rFonts w:asciiTheme="majorHAnsi" w:hAnsiTheme="majorHAnsi" w:cstheme="majorHAnsi"/>
          <w:b/>
          <w:bCs/>
          <w:lang w:bidi="he-IL"/>
        </w:rPr>
        <w:t xml:space="preserve"> UMOWY</w:t>
      </w:r>
    </w:p>
    <w:p w14:paraId="65C07C8C" w14:textId="77777777" w:rsidR="009F4F61" w:rsidRPr="00F516C0" w:rsidRDefault="009F4F61" w:rsidP="009F4F61">
      <w:pPr>
        <w:jc w:val="center"/>
        <w:rPr>
          <w:rFonts w:asciiTheme="majorHAnsi" w:hAnsiTheme="majorHAnsi" w:cstheme="majorHAnsi"/>
          <w:lang w:bidi="he-IL"/>
        </w:rPr>
      </w:pPr>
      <w:r w:rsidRPr="00F516C0">
        <w:rPr>
          <w:rFonts w:asciiTheme="majorHAnsi" w:hAnsiTheme="majorHAnsi" w:cstheme="majorHAnsi"/>
          <w:lang w:bidi="he-IL"/>
        </w:rPr>
        <w:t>/wzór/</w:t>
      </w:r>
    </w:p>
    <w:p w14:paraId="2476E62C" w14:textId="77777777" w:rsidR="009F4F61" w:rsidRPr="00F516C0" w:rsidRDefault="009F4F61" w:rsidP="009F4F61">
      <w:pPr>
        <w:rPr>
          <w:rFonts w:asciiTheme="majorHAnsi" w:hAnsiTheme="majorHAnsi" w:cstheme="majorHAnsi"/>
          <w:lang w:bidi="he-IL"/>
        </w:rPr>
      </w:pPr>
    </w:p>
    <w:p w14:paraId="0068DB43" w14:textId="77777777" w:rsidR="009F4F61" w:rsidRPr="00F516C0" w:rsidRDefault="009F4F61" w:rsidP="009F4F61">
      <w:pPr>
        <w:rPr>
          <w:rFonts w:asciiTheme="majorHAnsi" w:hAnsiTheme="majorHAnsi" w:cstheme="majorHAnsi"/>
          <w:b/>
          <w:bCs/>
          <w:lang w:bidi="he-IL"/>
        </w:rPr>
      </w:pPr>
      <w:r w:rsidRPr="00F516C0">
        <w:rPr>
          <w:rFonts w:asciiTheme="majorHAnsi" w:hAnsiTheme="majorHAnsi" w:cstheme="majorHAnsi"/>
          <w:b/>
          <w:bCs/>
          <w:lang w:bidi="he-IL"/>
        </w:rPr>
        <w:t xml:space="preserve">GWARANT: </w:t>
      </w:r>
      <w:r w:rsidRPr="00F516C0">
        <w:rPr>
          <w:rFonts w:asciiTheme="majorHAnsi" w:hAnsiTheme="majorHAnsi" w:cstheme="majorHAnsi"/>
          <w:lang w:bidi="he-IL"/>
        </w:rPr>
        <w:t>[…]</w:t>
      </w:r>
    </w:p>
    <w:p w14:paraId="51B0526F" w14:textId="77777777" w:rsidR="009F4F61" w:rsidRPr="00F516C0" w:rsidRDefault="009F4F61" w:rsidP="009F4F61">
      <w:pPr>
        <w:rPr>
          <w:rFonts w:asciiTheme="majorHAnsi" w:hAnsiTheme="majorHAnsi" w:cstheme="majorHAnsi"/>
          <w:b/>
          <w:bCs/>
          <w:lang w:bidi="he-IL"/>
        </w:rPr>
      </w:pPr>
    </w:p>
    <w:p w14:paraId="55873E28" w14:textId="5009A4D1" w:rsidR="009F4F61" w:rsidRPr="00F516C0" w:rsidRDefault="009F4F61" w:rsidP="009F4F61">
      <w:pPr>
        <w:rPr>
          <w:rFonts w:asciiTheme="majorHAnsi" w:hAnsiTheme="majorHAnsi" w:cstheme="majorHAnsi"/>
        </w:rPr>
      </w:pPr>
      <w:r w:rsidRPr="00F516C0">
        <w:rPr>
          <w:rFonts w:asciiTheme="majorHAnsi" w:hAnsiTheme="majorHAnsi" w:cstheme="majorHAnsi"/>
          <w:b/>
          <w:bCs/>
          <w:lang w:bidi="he-IL"/>
        </w:rPr>
        <w:t xml:space="preserve">BENEFICJENT: </w:t>
      </w:r>
      <w:r w:rsidR="006943BE" w:rsidRPr="00F516C0">
        <w:rPr>
          <w:rFonts w:asciiTheme="majorHAnsi" w:hAnsiTheme="majorHAnsi" w:cstheme="majorHAnsi"/>
        </w:rPr>
        <w:t>Samodzielny Publiczny Kliniczny Szpital Okulistyczny w Warszawie</w:t>
      </w:r>
    </w:p>
    <w:p w14:paraId="4C5E3343" w14:textId="77777777" w:rsidR="006943BE" w:rsidRPr="00F516C0" w:rsidRDefault="006943BE" w:rsidP="009F4F61">
      <w:pPr>
        <w:rPr>
          <w:rFonts w:asciiTheme="majorHAnsi" w:hAnsiTheme="majorHAnsi" w:cstheme="majorHAnsi"/>
          <w:b/>
          <w:bCs/>
          <w:lang w:bidi="he-IL"/>
        </w:rPr>
      </w:pPr>
    </w:p>
    <w:p w14:paraId="40686A0F" w14:textId="77777777" w:rsidR="009F4F61" w:rsidRPr="00F516C0" w:rsidRDefault="009F4F61" w:rsidP="009F4F61">
      <w:pPr>
        <w:rPr>
          <w:rFonts w:asciiTheme="majorHAnsi" w:hAnsiTheme="majorHAnsi" w:cstheme="majorHAnsi"/>
          <w:b/>
          <w:bCs/>
          <w:lang w:bidi="he-IL"/>
        </w:rPr>
      </w:pPr>
      <w:r w:rsidRPr="00F516C0">
        <w:rPr>
          <w:rFonts w:asciiTheme="majorHAnsi" w:hAnsiTheme="majorHAnsi" w:cstheme="majorHAnsi"/>
          <w:b/>
          <w:bCs/>
          <w:lang w:bidi="he-IL"/>
        </w:rPr>
        <w:t xml:space="preserve">ZOBOWIĄZANY: </w:t>
      </w:r>
      <w:r w:rsidRPr="00F516C0">
        <w:rPr>
          <w:rFonts w:asciiTheme="majorHAnsi" w:hAnsiTheme="majorHAnsi" w:cstheme="majorHAnsi"/>
          <w:lang w:bidi="he-IL"/>
        </w:rPr>
        <w:t>[…]</w:t>
      </w:r>
    </w:p>
    <w:p w14:paraId="00B9A003" w14:textId="77777777" w:rsidR="009F4F61" w:rsidRPr="00F516C0" w:rsidRDefault="009F4F61" w:rsidP="009F4F61">
      <w:pPr>
        <w:rPr>
          <w:rFonts w:asciiTheme="majorHAnsi" w:hAnsiTheme="majorHAnsi" w:cstheme="majorHAnsi"/>
          <w:lang w:bidi="he-IL"/>
        </w:rPr>
      </w:pPr>
    </w:p>
    <w:p w14:paraId="6C3C4F68" w14:textId="77777777" w:rsidR="009F4F61" w:rsidRPr="00F516C0" w:rsidRDefault="009F4F61" w:rsidP="00F516C0">
      <w:pPr>
        <w:pStyle w:val="Akapitzlist"/>
        <w:numPr>
          <w:ilvl w:val="0"/>
          <w:numId w:val="3"/>
        </w:numPr>
        <w:ind w:left="360"/>
        <w:jc w:val="both"/>
        <w:rPr>
          <w:rFonts w:asciiTheme="majorHAnsi" w:hAnsiTheme="majorHAnsi" w:cstheme="majorHAnsi"/>
          <w:lang w:bidi="he-IL"/>
        </w:rPr>
      </w:pPr>
      <w:r w:rsidRPr="00F516C0">
        <w:rPr>
          <w:rFonts w:asciiTheme="majorHAnsi" w:hAnsiTheme="majorHAnsi" w:cstheme="majorHAnsi"/>
          <w:lang w:bidi="he-IL"/>
        </w:rPr>
        <w:t>Niniejsza gwarancja zabezpiecza należyte wykonanie przez Zobowiązanego umowy nr […] zawartej pomiędzy Beneficjentem […] a Zobowiązanym, na realizacje zadania pn.: […] („</w:t>
      </w:r>
      <w:r w:rsidRPr="00F516C0">
        <w:rPr>
          <w:rFonts w:asciiTheme="majorHAnsi" w:hAnsiTheme="majorHAnsi" w:cstheme="majorHAnsi"/>
          <w:b/>
          <w:bCs/>
          <w:lang w:bidi="he-IL"/>
        </w:rPr>
        <w:t>Umowa</w:t>
      </w:r>
      <w:r w:rsidRPr="00F516C0">
        <w:rPr>
          <w:rFonts w:asciiTheme="majorHAnsi" w:hAnsiTheme="majorHAnsi" w:cstheme="majorHAnsi"/>
          <w:lang w:bidi="he-IL"/>
        </w:rPr>
        <w:t>”).</w:t>
      </w:r>
    </w:p>
    <w:p w14:paraId="60BF2B16" w14:textId="77777777" w:rsidR="009F4F61" w:rsidRPr="00F516C0" w:rsidRDefault="009F4F61" w:rsidP="00F516C0">
      <w:pPr>
        <w:pStyle w:val="Akapitzlist"/>
        <w:numPr>
          <w:ilvl w:val="0"/>
          <w:numId w:val="3"/>
        </w:numPr>
        <w:ind w:left="360"/>
        <w:jc w:val="both"/>
        <w:rPr>
          <w:rFonts w:asciiTheme="majorHAnsi" w:hAnsiTheme="majorHAnsi" w:cstheme="majorHAnsi"/>
          <w:lang w:bidi="he-IL"/>
        </w:rPr>
      </w:pPr>
      <w:r w:rsidRPr="00F516C0">
        <w:rPr>
          <w:rFonts w:asciiTheme="majorHAnsi" w:hAnsiTheme="majorHAnsi" w:cstheme="majorHAnsi"/>
          <w:lang w:bidi="he-IL"/>
        </w:rPr>
        <w:t>Zmiany Umowy nie wpływają na ważność niniejszej gwarancji ani na zakres zobowiązania Gwaranta. Gwarant rezygnuje z konieczności powiadamiania go o dokonywanych zmianach Umowy.</w:t>
      </w:r>
    </w:p>
    <w:p w14:paraId="20E4DC5C" w14:textId="77777777" w:rsidR="009F4F61" w:rsidRPr="00F516C0" w:rsidRDefault="009F4F61" w:rsidP="00F516C0">
      <w:pPr>
        <w:pStyle w:val="Akapitzlist"/>
        <w:numPr>
          <w:ilvl w:val="0"/>
          <w:numId w:val="3"/>
        </w:numPr>
        <w:ind w:left="360"/>
        <w:jc w:val="both"/>
        <w:rPr>
          <w:rFonts w:asciiTheme="majorHAnsi" w:hAnsiTheme="majorHAnsi" w:cstheme="majorHAnsi"/>
          <w:lang w:bidi="he-IL"/>
        </w:rPr>
      </w:pPr>
      <w:r w:rsidRPr="00F516C0">
        <w:rPr>
          <w:rFonts w:asciiTheme="majorHAnsi" w:hAnsiTheme="majorHAnsi" w:cstheme="majorHAnsi"/>
          <w:lang w:bidi="he-IL"/>
        </w:rPr>
        <w:t>Na podstawie niniejszej gwarancji, Gwarant zobowiązuje się nieodwołalnie i bezwarunkowo do zapłaty na rzecz Beneficjenta kwoty do wysokości:</w:t>
      </w:r>
    </w:p>
    <w:p w14:paraId="06E68872" w14:textId="156D44F9" w:rsidR="009F4F61" w:rsidRPr="00F516C0" w:rsidRDefault="009F4F61" w:rsidP="00F516C0">
      <w:pPr>
        <w:pStyle w:val="Akapitzlist"/>
        <w:numPr>
          <w:ilvl w:val="1"/>
          <w:numId w:val="3"/>
        </w:numPr>
        <w:ind w:left="1134" w:hanging="567"/>
        <w:jc w:val="both"/>
        <w:rPr>
          <w:rFonts w:asciiTheme="majorHAnsi" w:hAnsiTheme="majorHAnsi" w:cstheme="majorHAnsi"/>
          <w:lang w:bidi="he-IL"/>
        </w:rPr>
      </w:pPr>
      <w:r w:rsidRPr="00F516C0">
        <w:rPr>
          <w:rFonts w:asciiTheme="majorHAnsi" w:hAnsiTheme="majorHAnsi" w:cstheme="majorHAnsi"/>
          <w:lang w:bidi="he-IL"/>
        </w:rPr>
        <w:t>[…] zł – suma gwarancyjna z tytułu niewykonania lub nienależytego wykonania Umowy przez Zobowiązanego</w:t>
      </w:r>
      <w:r w:rsidR="007177C6" w:rsidRPr="00F516C0">
        <w:rPr>
          <w:rFonts w:asciiTheme="majorHAnsi" w:hAnsiTheme="majorHAnsi" w:cstheme="majorHAnsi"/>
          <w:lang w:bidi="he-IL"/>
        </w:rPr>
        <w:t xml:space="preserve"> do momentu podpisania przez Beneficjenta Protokołu Odbioru</w:t>
      </w:r>
      <w:r w:rsidR="00CD14FB">
        <w:rPr>
          <w:rFonts w:asciiTheme="majorHAnsi" w:hAnsiTheme="majorHAnsi" w:cstheme="majorHAnsi"/>
          <w:lang w:bidi="he-IL"/>
        </w:rPr>
        <w:t xml:space="preserve"> Uruchomienia</w:t>
      </w:r>
      <w:r w:rsidRPr="00F516C0">
        <w:rPr>
          <w:rFonts w:asciiTheme="majorHAnsi" w:hAnsiTheme="majorHAnsi" w:cstheme="majorHAnsi"/>
          <w:lang w:bidi="he-IL"/>
        </w:rPr>
        <w:t>;</w:t>
      </w:r>
    </w:p>
    <w:p w14:paraId="550D3AC8" w14:textId="77777777" w:rsidR="009F4F61" w:rsidRPr="00F516C0" w:rsidRDefault="009F4F61" w:rsidP="00F516C0">
      <w:pPr>
        <w:pStyle w:val="Akapitzlist"/>
        <w:numPr>
          <w:ilvl w:val="1"/>
          <w:numId w:val="3"/>
        </w:numPr>
        <w:ind w:left="1134" w:hanging="567"/>
        <w:jc w:val="both"/>
        <w:rPr>
          <w:rFonts w:asciiTheme="majorHAnsi" w:hAnsiTheme="majorHAnsi" w:cstheme="majorHAnsi"/>
          <w:lang w:bidi="he-IL"/>
        </w:rPr>
      </w:pPr>
      <w:r w:rsidRPr="00F516C0">
        <w:rPr>
          <w:rFonts w:asciiTheme="majorHAnsi" w:hAnsiTheme="majorHAnsi" w:cstheme="majorHAnsi"/>
          <w:lang w:bidi="he-IL"/>
        </w:rPr>
        <w:t>[…] zł (30% kwoty wskazanej w pkt 1) – suma gwarancyjna z tytułu niewykonania lub nienależytego wykonania Umowy przez Zobowiązanego w Okresie Gwarancji.</w:t>
      </w:r>
    </w:p>
    <w:p w14:paraId="7794DB6D" w14:textId="77777777" w:rsidR="009F4F61" w:rsidRPr="00F516C0" w:rsidRDefault="009F4F61" w:rsidP="00F516C0">
      <w:pPr>
        <w:pStyle w:val="Akapitzlist"/>
        <w:numPr>
          <w:ilvl w:val="0"/>
          <w:numId w:val="3"/>
        </w:numPr>
        <w:ind w:left="360"/>
        <w:jc w:val="both"/>
        <w:rPr>
          <w:rFonts w:asciiTheme="majorHAnsi" w:hAnsiTheme="majorHAnsi" w:cstheme="majorHAnsi"/>
          <w:lang w:bidi="he-IL"/>
        </w:rPr>
      </w:pPr>
      <w:r w:rsidRPr="00F516C0">
        <w:rPr>
          <w:rFonts w:asciiTheme="majorHAnsi" w:hAnsiTheme="majorHAnsi" w:cstheme="majorHAnsi"/>
          <w:lang w:bidi="he-IL"/>
        </w:rPr>
        <w:t>Wierzytelności, o których mowa w pkt 3, Gwarant zapłaci w terminie 14 dni kalendarzowych od dnia doręczenia Gwarantowi pierwszego pisemnego wezwania do zapłaty zawierającego oświadczenie Beneficjenta, że Zobowiązany nie wykonał Umowy albo Umowę wykonał nienależycie wobec czego żądana kwota jest należna.</w:t>
      </w:r>
    </w:p>
    <w:p w14:paraId="24B2DD76" w14:textId="77777777" w:rsidR="009F4F61" w:rsidRPr="00F516C0" w:rsidRDefault="009F4F61" w:rsidP="00F516C0">
      <w:pPr>
        <w:pStyle w:val="Akapitzlist"/>
        <w:numPr>
          <w:ilvl w:val="0"/>
          <w:numId w:val="3"/>
        </w:numPr>
        <w:ind w:left="360"/>
        <w:jc w:val="both"/>
        <w:rPr>
          <w:rFonts w:asciiTheme="majorHAnsi" w:hAnsiTheme="majorHAnsi" w:cstheme="majorHAnsi"/>
          <w:lang w:bidi="he-IL"/>
        </w:rPr>
      </w:pPr>
      <w:r w:rsidRPr="00F516C0">
        <w:rPr>
          <w:rFonts w:asciiTheme="majorHAnsi" w:hAnsiTheme="majorHAnsi" w:cstheme="majorHAnsi"/>
          <w:lang w:bidi="he-IL"/>
        </w:rPr>
        <w:t>Wezwanie do zapłaty powinno być podpisane przez osoby właściwie umocowane w imieniu Beneficjenta i złożone w okresie ważności niniejszej gwarancji:</w:t>
      </w:r>
    </w:p>
    <w:p w14:paraId="7CE6AAE4" w14:textId="77777777" w:rsidR="009F4F61" w:rsidRPr="00F516C0" w:rsidRDefault="009F4F61" w:rsidP="00F516C0">
      <w:pPr>
        <w:pStyle w:val="Akapitzlist"/>
        <w:numPr>
          <w:ilvl w:val="1"/>
          <w:numId w:val="3"/>
        </w:numPr>
        <w:ind w:left="1134" w:hanging="567"/>
        <w:jc w:val="both"/>
        <w:rPr>
          <w:rFonts w:asciiTheme="majorHAnsi" w:hAnsiTheme="majorHAnsi" w:cstheme="majorHAnsi"/>
          <w:lang w:bidi="he-IL"/>
        </w:rPr>
      </w:pPr>
      <w:r w:rsidRPr="00F516C0">
        <w:rPr>
          <w:rFonts w:asciiTheme="majorHAnsi" w:hAnsiTheme="majorHAnsi" w:cstheme="majorHAnsi"/>
          <w:lang w:bidi="he-IL"/>
        </w:rPr>
        <w:t>na adres […] za pośrednictwem banku prowadzącego Państwa rachunek, który potwierdzi, że podpisy widniejące na wezwaniu zostały złożone w ważny sposób i należą do osób uprawnionych do składania oświadczeń majątkowych w imieniu Beneficjenta albo</w:t>
      </w:r>
    </w:p>
    <w:p w14:paraId="3836E16B" w14:textId="77777777" w:rsidR="009F4F61" w:rsidRPr="00F516C0" w:rsidRDefault="009F4F61" w:rsidP="00F516C0">
      <w:pPr>
        <w:pStyle w:val="Akapitzlist"/>
        <w:numPr>
          <w:ilvl w:val="1"/>
          <w:numId w:val="3"/>
        </w:numPr>
        <w:ind w:left="1134" w:hanging="567"/>
        <w:jc w:val="both"/>
        <w:rPr>
          <w:rFonts w:asciiTheme="majorHAnsi" w:hAnsiTheme="majorHAnsi" w:cstheme="majorHAnsi"/>
          <w:lang w:bidi="he-IL"/>
        </w:rPr>
      </w:pPr>
      <w:r w:rsidRPr="00F516C0">
        <w:rPr>
          <w:rFonts w:asciiTheme="majorHAnsi" w:hAnsiTheme="majorHAnsi" w:cstheme="majorHAnsi"/>
          <w:lang w:bidi="he-IL"/>
        </w:rPr>
        <w:t>na adres e-mail: […] a wezwanie do zapłaty zostanie opatrzone kwalifikowanym podpisem elektronicznym osób uprawnionych do reprezentacji Beneficjenta w tym zakresie, wystawionym przez dostawcę kwalifikowanej usługi zaufania będącego podmiotem świadczącym usługi certyfikacyjne.</w:t>
      </w:r>
    </w:p>
    <w:p w14:paraId="2C7291A0" w14:textId="77777777" w:rsidR="009F4F61" w:rsidRPr="00F516C0" w:rsidRDefault="009F4F61" w:rsidP="00F516C0">
      <w:pPr>
        <w:pStyle w:val="Akapitzlist"/>
        <w:numPr>
          <w:ilvl w:val="0"/>
          <w:numId w:val="3"/>
        </w:numPr>
        <w:ind w:left="360"/>
        <w:jc w:val="both"/>
        <w:rPr>
          <w:rFonts w:asciiTheme="majorHAnsi" w:hAnsiTheme="majorHAnsi" w:cstheme="majorHAnsi"/>
          <w:lang w:bidi="he-IL"/>
        </w:rPr>
      </w:pPr>
      <w:r w:rsidRPr="00F516C0">
        <w:rPr>
          <w:rFonts w:asciiTheme="majorHAnsi" w:hAnsiTheme="majorHAnsi" w:cstheme="majorHAnsi"/>
          <w:lang w:bidi="he-IL"/>
        </w:rPr>
        <w:t>Kwota gwarancyjna, określone w pkt 3 stanowią górną granicę odpowiedzialności Gwaranta z tytułu określonego w pkt 3. Każda kwota zapłacona z tytułu niniejszej gwarancji zmniejsza kwotę gwarancyjną określoną w pkt 3.</w:t>
      </w:r>
    </w:p>
    <w:p w14:paraId="4249731A" w14:textId="77777777" w:rsidR="009F4F61" w:rsidRPr="00F516C0" w:rsidRDefault="009F4F61" w:rsidP="00F516C0">
      <w:pPr>
        <w:pStyle w:val="Akapitzlist"/>
        <w:numPr>
          <w:ilvl w:val="0"/>
          <w:numId w:val="3"/>
        </w:numPr>
        <w:ind w:left="360"/>
        <w:jc w:val="both"/>
        <w:rPr>
          <w:rFonts w:asciiTheme="majorHAnsi" w:hAnsiTheme="majorHAnsi" w:cstheme="majorHAnsi"/>
          <w:lang w:bidi="he-IL"/>
        </w:rPr>
      </w:pPr>
      <w:r w:rsidRPr="00F516C0">
        <w:rPr>
          <w:rFonts w:asciiTheme="majorHAnsi" w:hAnsiTheme="majorHAnsi" w:cstheme="majorHAnsi"/>
          <w:lang w:bidi="he-IL"/>
        </w:rPr>
        <w:t>Gwarancja obowiązuje od dnia zawarcia Umowy do dnia:</w:t>
      </w:r>
    </w:p>
    <w:p w14:paraId="16D18D55" w14:textId="1087470B" w:rsidR="009F4F61" w:rsidRPr="00F516C0" w:rsidRDefault="009F4F61" w:rsidP="00F516C0">
      <w:pPr>
        <w:pStyle w:val="Akapitzlist"/>
        <w:numPr>
          <w:ilvl w:val="1"/>
          <w:numId w:val="3"/>
        </w:numPr>
        <w:ind w:left="1134" w:hanging="567"/>
        <w:jc w:val="both"/>
        <w:rPr>
          <w:rFonts w:asciiTheme="majorHAnsi" w:hAnsiTheme="majorHAnsi" w:cstheme="majorHAnsi"/>
          <w:lang w:bidi="he-IL"/>
        </w:rPr>
      </w:pPr>
      <w:r w:rsidRPr="00F516C0">
        <w:rPr>
          <w:rFonts w:asciiTheme="majorHAnsi" w:hAnsiTheme="majorHAnsi" w:cstheme="majorHAnsi"/>
          <w:lang w:bidi="he-IL"/>
        </w:rPr>
        <w:t xml:space="preserve">podpisania Protokołu Odbioru </w:t>
      </w:r>
      <w:r w:rsidR="00CD14FB">
        <w:rPr>
          <w:rFonts w:asciiTheme="majorHAnsi" w:hAnsiTheme="majorHAnsi" w:cstheme="majorHAnsi"/>
          <w:lang w:bidi="he-IL"/>
        </w:rPr>
        <w:t xml:space="preserve">Uruchomienia </w:t>
      </w:r>
      <w:r w:rsidRPr="00F516C0">
        <w:rPr>
          <w:rFonts w:asciiTheme="majorHAnsi" w:hAnsiTheme="majorHAnsi" w:cstheme="majorHAnsi"/>
          <w:lang w:bidi="he-IL"/>
        </w:rPr>
        <w:t xml:space="preserve">oraz 30 dni po upływie tej daty, nie dłużej jednak niż do dnia […] włącznie, z tytułu określonego w pkt 3 </w:t>
      </w:r>
      <w:proofErr w:type="spellStart"/>
      <w:r w:rsidRPr="00F516C0">
        <w:rPr>
          <w:rFonts w:asciiTheme="majorHAnsi" w:hAnsiTheme="majorHAnsi" w:cstheme="majorHAnsi"/>
          <w:lang w:bidi="he-IL"/>
        </w:rPr>
        <w:t>ppkt</w:t>
      </w:r>
      <w:proofErr w:type="spellEnd"/>
      <w:r w:rsidRPr="00F516C0">
        <w:rPr>
          <w:rFonts w:asciiTheme="majorHAnsi" w:hAnsiTheme="majorHAnsi" w:cstheme="majorHAnsi"/>
          <w:lang w:bidi="he-IL"/>
        </w:rPr>
        <w:t xml:space="preserve"> 1; oraz</w:t>
      </w:r>
    </w:p>
    <w:p w14:paraId="0027A40A" w14:textId="41C2567A" w:rsidR="009F4F61" w:rsidRPr="00F516C0" w:rsidRDefault="009F4F61" w:rsidP="00F516C0">
      <w:pPr>
        <w:pStyle w:val="Akapitzlist"/>
        <w:numPr>
          <w:ilvl w:val="1"/>
          <w:numId w:val="3"/>
        </w:numPr>
        <w:ind w:left="1134" w:hanging="567"/>
        <w:jc w:val="both"/>
        <w:rPr>
          <w:rFonts w:asciiTheme="majorHAnsi" w:hAnsiTheme="majorHAnsi" w:cstheme="majorHAnsi"/>
          <w:lang w:bidi="he-IL"/>
        </w:rPr>
      </w:pPr>
      <w:r w:rsidRPr="00F516C0">
        <w:rPr>
          <w:rFonts w:asciiTheme="majorHAnsi" w:hAnsiTheme="majorHAnsi" w:cstheme="majorHAnsi"/>
          <w:lang w:bidi="he-IL"/>
        </w:rPr>
        <w:t xml:space="preserve">do dnia </w:t>
      </w:r>
      <w:r w:rsidR="007177C6" w:rsidRPr="00F516C0">
        <w:rPr>
          <w:rFonts w:asciiTheme="majorHAnsi" w:hAnsiTheme="majorHAnsi" w:cstheme="majorHAnsi"/>
          <w:lang w:bidi="he-IL"/>
        </w:rPr>
        <w:t xml:space="preserve">upływu najdłuższego terminu rękojmi i gwarancji </w:t>
      </w:r>
      <w:r w:rsidRPr="00F516C0">
        <w:rPr>
          <w:rFonts w:asciiTheme="majorHAnsi" w:hAnsiTheme="majorHAnsi" w:cstheme="majorHAnsi"/>
          <w:lang w:bidi="he-IL"/>
        </w:rPr>
        <w:t xml:space="preserve">oraz 15 dni po upływie tej daty, nie dłużej jednak niż do dnia […] włącznie, z tytułu określonego w pkt 3 </w:t>
      </w:r>
      <w:proofErr w:type="spellStart"/>
      <w:r w:rsidRPr="00F516C0">
        <w:rPr>
          <w:rFonts w:asciiTheme="majorHAnsi" w:hAnsiTheme="majorHAnsi" w:cstheme="majorHAnsi"/>
          <w:lang w:bidi="he-IL"/>
        </w:rPr>
        <w:t>ppkt</w:t>
      </w:r>
      <w:proofErr w:type="spellEnd"/>
      <w:r w:rsidRPr="00F516C0">
        <w:rPr>
          <w:rFonts w:asciiTheme="majorHAnsi" w:hAnsiTheme="majorHAnsi" w:cstheme="majorHAnsi"/>
          <w:lang w:bidi="he-IL"/>
        </w:rPr>
        <w:t xml:space="preserve"> 2*.</w:t>
      </w:r>
    </w:p>
    <w:p w14:paraId="5814C6FD" w14:textId="005ED72F" w:rsidR="007177C6" w:rsidRPr="00F516C0" w:rsidRDefault="007177C6" w:rsidP="00F516C0">
      <w:pPr>
        <w:pStyle w:val="Akapitzlist"/>
        <w:numPr>
          <w:ilvl w:val="0"/>
          <w:numId w:val="3"/>
        </w:numPr>
        <w:ind w:left="567" w:hanging="567"/>
        <w:jc w:val="both"/>
        <w:rPr>
          <w:rFonts w:asciiTheme="majorHAnsi" w:hAnsiTheme="majorHAnsi" w:cstheme="majorHAnsi"/>
          <w:lang w:bidi="he-IL"/>
        </w:rPr>
      </w:pPr>
      <w:r w:rsidRPr="00F516C0">
        <w:rPr>
          <w:rFonts w:asciiTheme="majorHAnsi" w:hAnsiTheme="majorHAnsi" w:cstheme="majorHAnsi"/>
          <w:lang w:bidi="he-IL"/>
        </w:rPr>
        <w:t>Odstąpienie od Umowy nie wyłącza możliwości żądania przez Beneficjenta zapłaty sumy gwarancyjnej.</w:t>
      </w:r>
    </w:p>
    <w:p w14:paraId="0BCCC2EB" w14:textId="577C56A4" w:rsidR="009F4F61" w:rsidRPr="00F516C0" w:rsidRDefault="009F4F61" w:rsidP="00F516C0">
      <w:pPr>
        <w:pStyle w:val="Akapitzlist"/>
        <w:numPr>
          <w:ilvl w:val="0"/>
          <w:numId w:val="3"/>
        </w:numPr>
        <w:ind w:left="567" w:hanging="567"/>
        <w:jc w:val="both"/>
        <w:rPr>
          <w:rFonts w:asciiTheme="majorHAnsi" w:hAnsiTheme="majorHAnsi" w:cstheme="majorHAnsi"/>
          <w:lang w:bidi="he-IL"/>
        </w:rPr>
      </w:pPr>
      <w:r w:rsidRPr="00F516C0">
        <w:rPr>
          <w:rFonts w:asciiTheme="majorHAnsi" w:hAnsiTheme="majorHAnsi" w:cstheme="majorHAnsi"/>
          <w:lang w:bidi="he-IL"/>
        </w:rPr>
        <w:t>Niniejsza gwarancja wygasa w przypadku:</w:t>
      </w:r>
    </w:p>
    <w:p w14:paraId="495E5616" w14:textId="77777777" w:rsidR="009F4F61" w:rsidRPr="00F516C0" w:rsidRDefault="009F4F61" w:rsidP="00F516C0">
      <w:pPr>
        <w:pStyle w:val="Akapitzlist"/>
        <w:numPr>
          <w:ilvl w:val="1"/>
          <w:numId w:val="3"/>
        </w:numPr>
        <w:ind w:left="1080"/>
        <w:jc w:val="both"/>
        <w:rPr>
          <w:rFonts w:asciiTheme="majorHAnsi" w:hAnsiTheme="majorHAnsi" w:cstheme="majorHAnsi"/>
          <w:lang w:bidi="he-IL"/>
        </w:rPr>
      </w:pPr>
      <w:r w:rsidRPr="00F516C0">
        <w:rPr>
          <w:rFonts w:asciiTheme="majorHAnsi" w:hAnsiTheme="majorHAnsi" w:cstheme="majorHAnsi"/>
          <w:lang w:bidi="he-IL"/>
        </w:rPr>
        <w:t>niedoręczenia Gwarantowi wezwania do zapłaty przed upływem terminów obowiązywania gwarancji;</w:t>
      </w:r>
    </w:p>
    <w:p w14:paraId="4319725C" w14:textId="77777777" w:rsidR="009F4F61" w:rsidRPr="00F516C0" w:rsidRDefault="009F4F61" w:rsidP="00F516C0">
      <w:pPr>
        <w:pStyle w:val="Akapitzlist"/>
        <w:numPr>
          <w:ilvl w:val="1"/>
          <w:numId w:val="3"/>
        </w:numPr>
        <w:ind w:left="1080"/>
        <w:jc w:val="both"/>
        <w:rPr>
          <w:rFonts w:asciiTheme="majorHAnsi" w:hAnsiTheme="majorHAnsi" w:cstheme="majorHAnsi"/>
          <w:lang w:bidi="he-IL"/>
        </w:rPr>
      </w:pPr>
      <w:r w:rsidRPr="00F516C0">
        <w:rPr>
          <w:rFonts w:asciiTheme="majorHAnsi" w:hAnsiTheme="majorHAnsi" w:cstheme="majorHAnsi"/>
          <w:lang w:bidi="he-IL"/>
        </w:rPr>
        <w:t>wyczerpania łącznej sumy gwarancyjnej;</w:t>
      </w:r>
    </w:p>
    <w:p w14:paraId="4244FEF3" w14:textId="77777777" w:rsidR="009F4F61" w:rsidRPr="00F516C0" w:rsidRDefault="009F4F61" w:rsidP="00F516C0">
      <w:pPr>
        <w:pStyle w:val="Akapitzlist"/>
        <w:numPr>
          <w:ilvl w:val="1"/>
          <w:numId w:val="3"/>
        </w:numPr>
        <w:ind w:left="1080"/>
        <w:jc w:val="both"/>
        <w:rPr>
          <w:rFonts w:asciiTheme="majorHAnsi" w:hAnsiTheme="majorHAnsi" w:cstheme="majorHAnsi"/>
          <w:lang w:bidi="he-IL"/>
        </w:rPr>
      </w:pPr>
      <w:r w:rsidRPr="00F516C0">
        <w:rPr>
          <w:rFonts w:asciiTheme="majorHAnsi" w:hAnsiTheme="majorHAnsi" w:cstheme="majorHAnsi"/>
          <w:lang w:bidi="he-IL"/>
        </w:rPr>
        <w:t>zwolnienia Gwaranta przez Beneficjenta ze wszystkich zobowiązań zabezpieczonych gwarancją przed upływem terminów jej obowiązywania;</w:t>
      </w:r>
    </w:p>
    <w:p w14:paraId="6BF58DB6" w14:textId="77777777" w:rsidR="009F4F61" w:rsidRPr="00F516C0" w:rsidRDefault="009F4F61" w:rsidP="00F516C0">
      <w:pPr>
        <w:pStyle w:val="Akapitzlist"/>
        <w:numPr>
          <w:ilvl w:val="0"/>
          <w:numId w:val="3"/>
        </w:numPr>
        <w:ind w:left="360"/>
        <w:jc w:val="both"/>
        <w:rPr>
          <w:rFonts w:asciiTheme="majorHAnsi" w:hAnsiTheme="majorHAnsi" w:cstheme="majorHAnsi"/>
          <w:lang w:bidi="he-IL"/>
        </w:rPr>
      </w:pPr>
      <w:r w:rsidRPr="00F516C0">
        <w:rPr>
          <w:rFonts w:asciiTheme="majorHAnsi" w:hAnsiTheme="majorHAnsi" w:cstheme="majorHAnsi"/>
          <w:lang w:bidi="he-IL"/>
        </w:rPr>
        <w:lastRenderedPageBreak/>
        <w:t>Wierzytelność z tytułu niniejszej gwarancji może być przedmiotem przelewu na osobę trzecią za uprzednią pisemną zgodą Gwaranta.</w:t>
      </w:r>
    </w:p>
    <w:p w14:paraId="464A6C5D" w14:textId="77777777" w:rsidR="009F4F61" w:rsidRPr="00F516C0" w:rsidRDefault="009F4F61" w:rsidP="00F516C0">
      <w:pPr>
        <w:pStyle w:val="Akapitzlist"/>
        <w:numPr>
          <w:ilvl w:val="0"/>
          <w:numId w:val="3"/>
        </w:numPr>
        <w:ind w:left="360"/>
        <w:jc w:val="both"/>
        <w:rPr>
          <w:rFonts w:asciiTheme="majorHAnsi" w:hAnsiTheme="majorHAnsi" w:cstheme="majorHAnsi"/>
          <w:lang w:bidi="he-IL"/>
        </w:rPr>
      </w:pPr>
      <w:r w:rsidRPr="00F516C0">
        <w:rPr>
          <w:rFonts w:asciiTheme="majorHAnsi" w:hAnsiTheme="majorHAnsi" w:cstheme="majorHAnsi"/>
          <w:lang w:bidi="he-IL"/>
        </w:rPr>
        <w:t>Do praw i obowiązków wynikających z niniejszej gwarancji oraz do rozstrzygania sporów powstałych w związku z niniejszą gwarancją stosuje się przepisy prawa polskiego.</w:t>
      </w:r>
    </w:p>
    <w:p w14:paraId="302BFF55" w14:textId="77777777" w:rsidR="009F4F61" w:rsidRPr="00F516C0" w:rsidRDefault="009F4F61" w:rsidP="00F516C0">
      <w:pPr>
        <w:pStyle w:val="Akapitzlist"/>
        <w:numPr>
          <w:ilvl w:val="0"/>
          <w:numId w:val="3"/>
        </w:numPr>
        <w:ind w:left="360"/>
        <w:jc w:val="both"/>
        <w:rPr>
          <w:rFonts w:asciiTheme="majorHAnsi" w:hAnsiTheme="majorHAnsi" w:cstheme="majorHAnsi"/>
          <w:lang w:bidi="he-IL"/>
        </w:rPr>
      </w:pPr>
      <w:r w:rsidRPr="00F516C0">
        <w:rPr>
          <w:rFonts w:asciiTheme="majorHAnsi" w:hAnsiTheme="majorHAnsi" w:cstheme="majorHAnsi"/>
          <w:lang w:bidi="he-IL"/>
        </w:rPr>
        <w:t>Wszelkie spory mogące wyniknąć z niniejszej gwarancji będą rozstrzygane przez sąd właściwy miejscowo dla siedziby jednostki organizacyjnej Beneficjenta.</w:t>
      </w:r>
    </w:p>
    <w:p w14:paraId="22EF27AA" w14:textId="77777777" w:rsidR="009F4F61" w:rsidRPr="00F516C0" w:rsidRDefault="009F4F61" w:rsidP="00F516C0">
      <w:pPr>
        <w:pStyle w:val="Akapitzlist"/>
        <w:numPr>
          <w:ilvl w:val="0"/>
          <w:numId w:val="3"/>
        </w:numPr>
        <w:ind w:left="360"/>
        <w:jc w:val="both"/>
        <w:rPr>
          <w:rFonts w:asciiTheme="majorHAnsi" w:hAnsiTheme="majorHAnsi" w:cstheme="majorHAnsi"/>
          <w:lang w:bidi="he-IL"/>
        </w:rPr>
      </w:pPr>
      <w:r w:rsidRPr="00F516C0">
        <w:rPr>
          <w:rFonts w:asciiTheme="majorHAnsi" w:hAnsiTheme="majorHAnsi" w:cstheme="majorHAnsi"/>
          <w:lang w:bidi="he-IL"/>
        </w:rPr>
        <w:t>Niniejszą gwarancję sporządzono w jednym egzemplarzu.</w:t>
      </w:r>
    </w:p>
    <w:p w14:paraId="4BD158AF" w14:textId="77777777" w:rsidR="009F4F61" w:rsidRPr="00F516C0" w:rsidRDefault="009F4F61" w:rsidP="00F516C0">
      <w:pPr>
        <w:pStyle w:val="Akapitzlist"/>
        <w:numPr>
          <w:ilvl w:val="0"/>
          <w:numId w:val="3"/>
        </w:numPr>
        <w:ind w:left="360"/>
        <w:jc w:val="both"/>
        <w:rPr>
          <w:rFonts w:asciiTheme="majorHAnsi" w:hAnsiTheme="majorHAnsi" w:cstheme="majorHAnsi"/>
          <w:lang w:bidi="he-IL"/>
        </w:rPr>
      </w:pPr>
      <w:r w:rsidRPr="00F516C0">
        <w:rPr>
          <w:rFonts w:asciiTheme="majorHAnsi" w:hAnsiTheme="majorHAnsi" w:cstheme="majorHAnsi"/>
          <w:lang w:bidi="he-IL"/>
        </w:rPr>
        <w:t>Adres korespondencyjny Gwaranta: […]</w:t>
      </w:r>
    </w:p>
    <w:p w14:paraId="394406B2" w14:textId="77777777" w:rsidR="009F4F61" w:rsidRPr="00F516C0" w:rsidRDefault="009F4F61" w:rsidP="00F516C0">
      <w:pPr>
        <w:jc w:val="both"/>
        <w:rPr>
          <w:rFonts w:asciiTheme="majorHAnsi" w:hAnsiTheme="majorHAnsi" w:cstheme="majorHAnsi"/>
          <w:lang w:bidi="he-IL"/>
        </w:rPr>
      </w:pPr>
    </w:p>
    <w:p w14:paraId="01C19B55" w14:textId="77777777" w:rsidR="009F4F61" w:rsidRPr="00F516C0" w:rsidRDefault="009F4F61" w:rsidP="009F4F61">
      <w:pPr>
        <w:jc w:val="center"/>
        <w:rPr>
          <w:rFonts w:asciiTheme="majorHAnsi" w:hAnsiTheme="majorHAnsi" w:cstheme="majorHAnsi"/>
          <w:lang w:bidi="he-IL"/>
        </w:rPr>
      </w:pPr>
      <w:r w:rsidRPr="00F516C0">
        <w:rPr>
          <w:rFonts w:asciiTheme="majorHAnsi" w:hAnsiTheme="majorHAnsi" w:cstheme="majorHAnsi"/>
          <w:lang w:bidi="he-IL"/>
        </w:rPr>
        <w:t>***</w:t>
      </w:r>
    </w:p>
    <w:p w14:paraId="7B70B5FC" w14:textId="77777777" w:rsidR="009F4F61" w:rsidRPr="00F516C0" w:rsidRDefault="009F4F61" w:rsidP="00F516C0">
      <w:pPr>
        <w:jc w:val="both"/>
        <w:rPr>
          <w:rFonts w:asciiTheme="majorHAnsi" w:hAnsiTheme="majorHAnsi" w:cstheme="majorHAnsi"/>
          <w:i/>
          <w:iCs/>
          <w:lang w:bidi="he-IL"/>
        </w:rPr>
      </w:pPr>
      <w:r w:rsidRPr="00F516C0">
        <w:rPr>
          <w:rFonts w:asciiTheme="majorHAnsi" w:hAnsiTheme="majorHAnsi" w:cstheme="majorHAnsi"/>
          <w:i/>
          <w:iCs/>
          <w:lang w:bidi="he-IL"/>
        </w:rPr>
        <w:t>Zamawiający dopuszcza wniesienie gwarancji sporządzonej według innego wzoru, jednak winna ona zawierać wszystkie istotne postanowienia zawarte w przedstawionym wzorze, tj.:</w:t>
      </w:r>
    </w:p>
    <w:p w14:paraId="2E0287E6" w14:textId="77777777" w:rsidR="009F4F61" w:rsidRPr="00F516C0" w:rsidRDefault="009F4F61" w:rsidP="00F516C0">
      <w:pPr>
        <w:pStyle w:val="Akapitzlist"/>
        <w:numPr>
          <w:ilvl w:val="0"/>
          <w:numId w:val="4"/>
        </w:numPr>
        <w:jc w:val="both"/>
        <w:rPr>
          <w:rFonts w:asciiTheme="majorHAnsi" w:hAnsiTheme="majorHAnsi" w:cstheme="majorHAnsi"/>
          <w:i/>
          <w:iCs/>
          <w:lang w:bidi="he-IL"/>
        </w:rPr>
      </w:pPr>
      <w:r w:rsidRPr="00F516C0">
        <w:rPr>
          <w:rFonts w:asciiTheme="majorHAnsi" w:hAnsiTheme="majorHAnsi" w:cstheme="majorHAnsi"/>
          <w:i/>
          <w:iCs/>
          <w:lang w:bidi="he-IL"/>
        </w:rPr>
        <w:t>klauzulę o nieodwołalnym i bezwarunkowych charakterze gwarancji;</w:t>
      </w:r>
    </w:p>
    <w:p w14:paraId="32245CFF" w14:textId="77777777" w:rsidR="009F4F61" w:rsidRPr="00F516C0" w:rsidRDefault="009F4F61" w:rsidP="00F516C0">
      <w:pPr>
        <w:pStyle w:val="Akapitzlist"/>
        <w:numPr>
          <w:ilvl w:val="0"/>
          <w:numId w:val="4"/>
        </w:numPr>
        <w:jc w:val="both"/>
        <w:rPr>
          <w:rFonts w:asciiTheme="majorHAnsi" w:hAnsiTheme="majorHAnsi" w:cstheme="majorHAnsi"/>
          <w:i/>
          <w:iCs/>
          <w:lang w:bidi="he-IL"/>
        </w:rPr>
      </w:pPr>
      <w:r w:rsidRPr="00F516C0">
        <w:rPr>
          <w:rFonts w:asciiTheme="majorHAnsi" w:hAnsiTheme="majorHAnsi" w:cstheme="majorHAnsi"/>
          <w:i/>
          <w:iCs/>
          <w:lang w:bidi="he-IL"/>
        </w:rPr>
        <w:t>klauzulę – płatne na pierwsze żądanie w terminie do 14 dni od dnia otrzymania żądanie zapłaty;</w:t>
      </w:r>
    </w:p>
    <w:p w14:paraId="38105F54" w14:textId="77777777" w:rsidR="009F4F61" w:rsidRPr="00F516C0" w:rsidRDefault="009F4F61" w:rsidP="00F516C0">
      <w:pPr>
        <w:pStyle w:val="Akapitzlist"/>
        <w:numPr>
          <w:ilvl w:val="0"/>
          <w:numId w:val="4"/>
        </w:numPr>
        <w:jc w:val="both"/>
        <w:rPr>
          <w:rFonts w:asciiTheme="majorHAnsi" w:hAnsiTheme="majorHAnsi" w:cstheme="majorHAnsi"/>
          <w:i/>
          <w:iCs/>
          <w:lang w:bidi="he-IL"/>
        </w:rPr>
      </w:pPr>
      <w:r w:rsidRPr="00F516C0">
        <w:rPr>
          <w:rFonts w:asciiTheme="majorHAnsi" w:hAnsiTheme="majorHAnsi" w:cstheme="majorHAnsi"/>
          <w:i/>
          <w:iCs/>
          <w:lang w:bidi="he-IL"/>
        </w:rPr>
        <w:t>klauzulę o zapłacie na podstawie wyłącznie pisemnego oświadczenia Beneficjenta o tym że żądana kwota jest mu należna z tytułu niewykonania lub nienależytego wykonania umowy, bez konieczności dołączania do żądania dodatkowych dokumentów wskazujących na zasadność lub podstawę żądania zapłaty (abstrakcyjny charakter zobowiązania Gwaranta);</w:t>
      </w:r>
    </w:p>
    <w:p w14:paraId="6725F84C" w14:textId="77777777" w:rsidR="009F4F61" w:rsidRPr="00F516C0" w:rsidRDefault="009F4F61" w:rsidP="00F516C0">
      <w:pPr>
        <w:pStyle w:val="Akapitzlist"/>
        <w:numPr>
          <w:ilvl w:val="0"/>
          <w:numId w:val="4"/>
        </w:numPr>
        <w:jc w:val="both"/>
        <w:rPr>
          <w:rFonts w:asciiTheme="majorHAnsi" w:hAnsiTheme="majorHAnsi" w:cstheme="majorHAnsi"/>
          <w:i/>
          <w:iCs/>
          <w:lang w:bidi="he-IL"/>
        </w:rPr>
      </w:pPr>
      <w:r w:rsidRPr="00F516C0">
        <w:rPr>
          <w:rFonts w:asciiTheme="majorHAnsi" w:hAnsiTheme="majorHAnsi" w:cstheme="majorHAnsi"/>
          <w:i/>
          <w:iCs/>
          <w:lang w:bidi="he-IL"/>
        </w:rPr>
        <w:t>klauzulę o braku obowiązku powiadamiana Gwaranta o zmianach do umowy oraz braku wpływu dokonywanych zmian Umowy na zobowiązanie Gwaranta;</w:t>
      </w:r>
    </w:p>
    <w:p w14:paraId="36B37332" w14:textId="77777777" w:rsidR="009F4F61" w:rsidRPr="00F516C0" w:rsidRDefault="009F4F61" w:rsidP="00F516C0">
      <w:pPr>
        <w:pStyle w:val="Akapitzlist"/>
        <w:numPr>
          <w:ilvl w:val="0"/>
          <w:numId w:val="4"/>
        </w:numPr>
        <w:jc w:val="both"/>
        <w:rPr>
          <w:rFonts w:asciiTheme="majorHAnsi" w:hAnsiTheme="majorHAnsi" w:cstheme="majorHAnsi"/>
          <w:i/>
          <w:iCs/>
          <w:lang w:bidi="he-IL"/>
        </w:rPr>
      </w:pPr>
      <w:r w:rsidRPr="00F516C0">
        <w:rPr>
          <w:rFonts w:asciiTheme="majorHAnsi" w:hAnsiTheme="majorHAnsi" w:cstheme="majorHAnsi"/>
          <w:i/>
          <w:iCs/>
          <w:lang w:bidi="he-IL"/>
        </w:rPr>
        <w:t>klauzulę o poddaniu ewentualnych sporów jakie mogą wyniknąć na tle realizacji gwarancji pod rozstrzygnięcie sądu właściwego dla siedziby jednostki organizacyjnej Beneficjenta;</w:t>
      </w:r>
    </w:p>
    <w:p w14:paraId="1D571B1C" w14:textId="77777777" w:rsidR="009F4F61" w:rsidRPr="00F516C0" w:rsidRDefault="009F4F61" w:rsidP="00F516C0">
      <w:pPr>
        <w:pStyle w:val="Akapitzlist"/>
        <w:numPr>
          <w:ilvl w:val="0"/>
          <w:numId w:val="4"/>
        </w:numPr>
        <w:jc w:val="both"/>
        <w:rPr>
          <w:rFonts w:asciiTheme="majorHAnsi" w:hAnsiTheme="majorHAnsi" w:cstheme="majorHAnsi"/>
          <w:i/>
          <w:iCs/>
          <w:lang w:bidi="he-IL"/>
        </w:rPr>
      </w:pPr>
      <w:r w:rsidRPr="00F516C0">
        <w:rPr>
          <w:rFonts w:asciiTheme="majorHAnsi" w:hAnsiTheme="majorHAnsi" w:cstheme="majorHAnsi"/>
          <w:i/>
          <w:iCs/>
          <w:lang w:bidi="he-IL"/>
        </w:rPr>
        <w:t>klauzulę prawa właściwego – prawa polskiego.</w:t>
      </w:r>
    </w:p>
    <w:p w14:paraId="31B7C1C3" w14:textId="77777777" w:rsidR="009F4F61" w:rsidRPr="00F516C0" w:rsidRDefault="009F4F61" w:rsidP="00F516C0">
      <w:pPr>
        <w:jc w:val="both"/>
        <w:rPr>
          <w:rFonts w:asciiTheme="majorHAnsi" w:hAnsiTheme="majorHAnsi" w:cstheme="majorHAnsi"/>
          <w:i/>
          <w:iCs/>
          <w:lang w:bidi="he-IL"/>
        </w:rPr>
      </w:pPr>
      <w:r w:rsidRPr="00F516C0">
        <w:rPr>
          <w:rFonts w:asciiTheme="majorHAnsi" w:hAnsiTheme="majorHAnsi" w:cstheme="majorHAnsi"/>
          <w:i/>
          <w:iCs/>
          <w:lang w:bidi="he-IL"/>
        </w:rPr>
        <w:t>W przypadku modyfikacji wzoru gwarancji, Wykonawca zobowiązany będzie przed podpisaniem umowy uzgodnić treść gwarancji z Zamawiającym.</w:t>
      </w:r>
    </w:p>
    <w:p w14:paraId="71911F58" w14:textId="77777777" w:rsidR="009F4F61" w:rsidRPr="00F516C0" w:rsidRDefault="009F4F61" w:rsidP="00F516C0">
      <w:pPr>
        <w:jc w:val="both"/>
        <w:rPr>
          <w:rFonts w:asciiTheme="majorHAnsi" w:hAnsiTheme="majorHAnsi" w:cstheme="majorHAnsi"/>
          <w:lang w:bidi="he-IL"/>
        </w:rPr>
      </w:pPr>
    </w:p>
    <w:p w14:paraId="4B642C5E" w14:textId="6333727E" w:rsidR="00E94635" w:rsidRPr="00F516C0" w:rsidRDefault="009F4F61" w:rsidP="00F516C0">
      <w:pPr>
        <w:jc w:val="both"/>
        <w:rPr>
          <w:rFonts w:asciiTheme="majorHAnsi" w:hAnsiTheme="majorHAnsi" w:cstheme="majorHAnsi"/>
          <w:i/>
          <w:iCs/>
          <w:lang w:bidi="he-IL"/>
        </w:rPr>
      </w:pPr>
      <w:r w:rsidRPr="00F516C0">
        <w:rPr>
          <w:rFonts w:asciiTheme="majorHAnsi" w:hAnsiTheme="majorHAnsi" w:cstheme="majorHAnsi"/>
          <w:i/>
          <w:iCs/>
          <w:lang w:bidi="he-IL"/>
        </w:rPr>
        <w:t>*z zastrzeżeniem art. 452 ust. 8 PZP: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sectPr w:rsidR="00E94635" w:rsidRPr="00F516C0" w:rsidSect="000A207D">
      <w:headerReference w:type="default" r:id="rId7"/>
      <w:footerReference w:type="even" r:id="rId8"/>
      <w:footerReference w:type="default" r:id="rId9"/>
      <w:pgSz w:w="11907" w:h="16840"/>
      <w:pgMar w:top="1418" w:right="1275" w:bottom="1134" w:left="1556" w:header="708"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F3C3D" w14:textId="77777777" w:rsidR="00AF0528" w:rsidRDefault="00AF0528">
      <w:r>
        <w:separator/>
      </w:r>
    </w:p>
  </w:endnote>
  <w:endnote w:type="continuationSeparator" w:id="0">
    <w:p w14:paraId="79DD2A30" w14:textId="77777777" w:rsidR="00AF0528" w:rsidRDefault="00AF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D750" w14:textId="77777777" w:rsidR="003D357C" w:rsidRDefault="00E9589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F7E77D" w14:textId="77777777" w:rsidR="003D357C" w:rsidRDefault="00937C1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8771" w14:textId="77777777" w:rsidR="003D357C" w:rsidRDefault="00E95890" w:rsidP="007B201E">
    <w:pPr>
      <w:pStyle w:val="Stopka"/>
      <w:framePr w:wrap="around" w:vAnchor="text" w:hAnchor="margin" w:xAlign="right" w:y="1"/>
      <w:ind w:left="6480"/>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40F6E0ED" w14:textId="77777777" w:rsidR="003D357C" w:rsidRDefault="00937C12" w:rsidP="007B201E">
    <w:pPr>
      <w:pStyle w:val="Stopka"/>
      <w:ind w:left="648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36E72" w14:textId="77777777" w:rsidR="00AF0528" w:rsidRDefault="00AF0528">
      <w:r>
        <w:separator/>
      </w:r>
    </w:p>
  </w:footnote>
  <w:footnote w:type="continuationSeparator" w:id="0">
    <w:p w14:paraId="7D2CA69F" w14:textId="77777777" w:rsidR="00AF0528" w:rsidRDefault="00AF0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4654" w14:textId="77777777" w:rsidR="003D357C" w:rsidRPr="000972DA" w:rsidRDefault="00937C12" w:rsidP="00B70A6A">
    <w:pPr>
      <w:pStyle w:val="Nagwek"/>
      <w:numPr>
        <w:ilvl w:val="0"/>
        <w:numId w:val="0"/>
      </w:numPr>
      <w:ind w:left="360" w:hanging="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2054C"/>
    <w:multiLevelType w:val="hybridMultilevel"/>
    <w:tmpl w:val="B7B66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93626B"/>
    <w:multiLevelType w:val="multilevel"/>
    <w:tmpl w:val="35E4D978"/>
    <w:lvl w:ilvl="0">
      <w:start w:val="1"/>
      <w:numFmt w:val="lowerLetter"/>
      <w:lvlText w:val="%1)"/>
      <w:lvlJc w:val="left"/>
      <w:pPr>
        <w:ind w:left="0" w:firstLine="0"/>
      </w:pPr>
      <w:rPr>
        <w:rFonts w:ascii="Arial" w:hAnsi="Arial" w:cs="Aria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pStyle w:val="Nagwek2"/>
      <w:lvlText w:val="1.%9)"/>
      <w:lvlJc w:val="left"/>
      <w:pPr>
        <w:tabs>
          <w:tab w:val="num" w:pos="6480"/>
        </w:tabs>
        <w:ind w:left="6480" w:hanging="720"/>
      </w:pPr>
      <w:rPr>
        <w:rFonts w:hint="default"/>
      </w:rPr>
    </w:lvl>
  </w:abstractNum>
  <w:abstractNum w:abstractNumId="2" w15:restartNumberingAfterBreak="0">
    <w:nsid w:val="3F2068B9"/>
    <w:multiLevelType w:val="hybridMultilevel"/>
    <w:tmpl w:val="D11A7194"/>
    <w:lvl w:ilvl="0" w:tplc="0415000F">
      <w:start w:val="1"/>
      <w:numFmt w:val="decimal"/>
      <w:lvlText w:val="%1."/>
      <w:lvlJc w:val="left"/>
      <w:pPr>
        <w:ind w:left="720" w:hanging="360"/>
      </w:pPr>
    </w:lvl>
    <w:lvl w:ilvl="1" w:tplc="A92C84C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C7711BA"/>
    <w:multiLevelType w:val="multilevel"/>
    <w:tmpl w:val="A25C5570"/>
    <w:lvl w:ilvl="0">
      <w:start w:val="1"/>
      <w:numFmt w:val="decimal"/>
      <w:pStyle w:val="Nagwek"/>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22050444">
    <w:abstractNumId w:val="1"/>
  </w:num>
  <w:num w:numId="2" w16cid:durableId="777333515">
    <w:abstractNumId w:val="3"/>
  </w:num>
  <w:num w:numId="3" w16cid:durableId="1125808764">
    <w:abstractNumId w:val="2"/>
  </w:num>
  <w:num w:numId="4" w16cid:durableId="1624799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61"/>
    <w:rsid w:val="0011096B"/>
    <w:rsid w:val="00202244"/>
    <w:rsid w:val="005300C8"/>
    <w:rsid w:val="006943BE"/>
    <w:rsid w:val="006D0331"/>
    <w:rsid w:val="007177C6"/>
    <w:rsid w:val="007533D6"/>
    <w:rsid w:val="007C0851"/>
    <w:rsid w:val="0089051C"/>
    <w:rsid w:val="00937C12"/>
    <w:rsid w:val="009F4F61"/>
    <w:rsid w:val="00AF0528"/>
    <w:rsid w:val="00CD14FB"/>
    <w:rsid w:val="00E94635"/>
    <w:rsid w:val="00E95890"/>
    <w:rsid w:val="00F516C0"/>
    <w:rsid w:val="00F844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0F01B"/>
  <w15:chartTrackingRefBased/>
  <w15:docId w15:val="{5737C5BB-7BF8-4918-AF4B-CB05CD78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4F61"/>
    <w:pPr>
      <w:spacing w:after="0" w:line="240" w:lineRule="auto"/>
    </w:pPr>
    <w:rPr>
      <w:rFonts w:ascii="Calibri" w:eastAsia="Times New Roman" w:hAnsi="Calibri" w:cs="Times New Roman"/>
      <w:szCs w:val="24"/>
      <w:lang w:eastAsia="pl-PL"/>
    </w:rPr>
  </w:style>
  <w:style w:type="paragraph" w:styleId="Nagwek2">
    <w:name w:val="heading 2"/>
    <w:basedOn w:val="Normalny"/>
    <w:next w:val="Normalny"/>
    <w:link w:val="Nagwek2Znak"/>
    <w:qFormat/>
    <w:rsid w:val="009F4F61"/>
    <w:pPr>
      <w:keepNext/>
      <w:numPr>
        <w:ilvl w:val="8"/>
        <w:numId w:val="1"/>
      </w:numPr>
      <w:outlineLvl w:val="1"/>
    </w:pPr>
    <w:rPr>
      <w:rFonts w:asciiTheme="minorHAnsi" w:hAnsiTheme="minorHAnsi"/>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F4F61"/>
    <w:rPr>
      <w:rFonts w:eastAsia="Times New Roman" w:cs="Times New Roman"/>
      <w:b/>
      <w:szCs w:val="20"/>
      <w:lang w:eastAsia="pl-PL"/>
    </w:rPr>
  </w:style>
  <w:style w:type="paragraph" w:styleId="Stopka">
    <w:name w:val="footer"/>
    <w:basedOn w:val="Normalny"/>
    <w:link w:val="StopkaZnak"/>
    <w:semiHidden/>
    <w:rsid w:val="009F4F61"/>
    <w:pPr>
      <w:tabs>
        <w:tab w:val="center" w:pos="4536"/>
        <w:tab w:val="right" w:pos="9072"/>
      </w:tabs>
    </w:pPr>
  </w:style>
  <w:style w:type="character" w:customStyle="1" w:styleId="StopkaZnak">
    <w:name w:val="Stopka Znak"/>
    <w:basedOn w:val="Domylnaczcionkaakapitu"/>
    <w:link w:val="Stopka"/>
    <w:semiHidden/>
    <w:rsid w:val="009F4F61"/>
    <w:rPr>
      <w:rFonts w:ascii="Calibri" w:eastAsia="Times New Roman" w:hAnsi="Calibri" w:cs="Times New Roman"/>
      <w:szCs w:val="24"/>
      <w:lang w:eastAsia="pl-PL"/>
    </w:rPr>
  </w:style>
  <w:style w:type="character" w:styleId="Numerstrony">
    <w:name w:val="page number"/>
    <w:basedOn w:val="Domylnaczcionkaakapitu"/>
    <w:semiHidden/>
    <w:rsid w:val="009F4F61"/>
  </w:style>
  <w:style w:type="paragraph" w:styleId="Nagwek">
    <w:name w:val="header"/>
    <w:aliases w:val="Nagłówek strony,Nagłówek strony Znak Znak Znak,Nagłówek strony Znak Znak"/>
    <w:basedOn w:val="Normalny"/>
    <w:link w:val="NagwekZnak"/>
    <w:rsid w:val="009F4F61"/>
    <w:pPr>
      <w:numPr>
        <w:numId w:val="2"/>
      </w:numPr>
      <w:tabs>
        <w:tab w:val="center" w:pos="4536"/>
        <w:tab w:val="right" w:pos="9072"/>
      </w:tabs>
    </w:pPr>
  </w:style>
  <w:style w:type="character" w:customStyle="1" w:styleId="NagwekZnak">
    <w:name w:val="Nagłówek Znak"/>
    <w:aliases w:val="Nagłówek strony Znak,Nagłówek strony Znak Znak Znak Znak,Nagłówek strony Znak Znak Znak1"/>
    <w:basedOn w:val="Domylnaczcionkaakapitu"/>
    <w:link w:val="Nagwek"/>
    <w:rsid w:val="009F4F61"/>
    <w:rPr>
      <w:rFonts w:ascii="Calibri" w:eastAsia="Times New Roman" w:hAnsi="Calibri" w:cs="Times New Roman"/>
      <w:szCs w:val="24"/>
      <w:lang w:eastAsia="pl-PL"/>
    </w:rPr>
  </w:style>
  <w:style w:type="paragraph" w:styleId="Akapitzlist">
    <w:name w:val="List Paragraph"/>
    <w:aliases w:val="normalny tekst,L1,Numerowanie,List Paragraph,Akapit z listą5,BulletC,Wyliczanie,Obiekt,Akapit z listą31,Bullets,Akapit z numeracją,List Paragraph1,Normal,Wypunktowanie,Normal2,Asia 2  Akapit z listą,tekst normalny,normalny,test ciągły,lp1"/>
    <w:basedOn w:val="Normalny"/>
    <w:link w:val="AkapitzlistZnak"/>
    <w:uiPriority w:val="34"/>
    <w:qFormat/>
    <w:rsid w:val="009F4F61"/>
    <w:pPr>
      <w:tabs>
        <w:tab w:val="num" w:pos="6480"/>
      </w:tabs>
      <w:ind w:left="6480" w:hanging="720"/>
    </w:pPr>
  </w:style>
  <w:style w:type="character" w:customStyle="1" w:styleId="AkapitzlistZnak">
    <w:name w:val="Akapit z listą Znak"/>
    <w:aliases w:val="normalny tekst Znak,L1 Znak,Numerowanie Znak,List Paragraph Znak,Akapit z listą5 Znak,BulletC Znak,Wyliczanie Znak,Obiekt Znak,Akapit z listą31 Znak,Bullets Znak,Akapit z numeracją Znak,List Paragraph1 Znak,Normal Znak,Normal2 Znak"/>
    <w:link w:val="Akapitzlist"/>
    <w:uiPriority w:val="34"/>
    <w:qFormat/>
    <w:locked/>
    <w:rsid w:val="009F4F61"/>
    <w:rPr>
      <w:rFonts w:ascii="Calibri" w:eastAsia="Times New Roman" w:hAnsi="Calibri" w:cs="Times New Roman"/>
      <w:szCs w:val="24"/>
      <w:lang w:eastAsia="pl-PL"/>
    </w:rPr>
  </w:style>
  <w:style w:type="paragraph" w:styleId="Poprawka">
    <w:name w:val="Revision"/>
    <w:hidden/>
    <w:uiPriority w:val="99"/>
    <w:semiHidden/>
    <w:rsid w:val="00CD14FB"/>
    <w:pPr>
      <w:spacing w:after="0" w:line="240" w:lineRule="auto"/>
    </w:pPr>
    <w:rPr>
      <w:rFonts w:ascii="Calibri" w:eastAsia="Times New Roman" w:hAnsi="Calibri"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4362</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Gołyńska</dc:creator>
  <cp:keywords/>
  <dc:description/>
  <cp:lastModifiedBy>Monika Kuć</cp:lastModifiedBy>
  <cp:revision>3</cp:revision>
  <dcterms:created xsi:type="dcterms:W3CDTF">2022-10-28T06:57:00Z</dcterms:created>
  <dcterms:modified xsi:type="dcterms:W3CDTF">2022-10-31T13:17:00Z</dcterms:modified>
</cp:coreProperties>
</file>